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FD16F" w14:textId="77777777" w:rsidR="00B61E88" w:rsidRPr="006A37DB" w:rsidRDefault="0014449D" w:rsidP="62084865">
      <w:pPr>
        <w:pStyle w:val="JROCBodyText"/>
        <w:jc w:val="both"/>
        <w:rPr>
          <w:rFonts w:asciiTheme="minorHAnsi" w:hAnsiTheme="minorHAnsi" w:cstheme="minorBidi"/>
          <w:b/>
          <w:bCs/>
          <w:sz w:val="22"/>
          <w:szCs w:val="22"/>
        </w:rPr>
      </w:pPr>
      <w:r w:rsidRPr="101FF69C">
        <w:rPr>
          <w:rFonts w:asciiTheme="minorHAnsi" w:hAnsiTheme="minorHAnsi" w:cstheme="minorBidi"/>
          <w:b/>
          <w:bCs/>
          <w:sz w:val="22"/>
          <w:szCs w:val="22"/>
        </w:rPr>
        <w:t>Strategic Working Group (SWG)</w:t>
      </w:r>
    </w:p>
    <w:p w14:paraId="68F24AD1" w14:textId="77777777" w:rsidR="00B61E88" w:rsidRPr="006A37DB" w:rsidRDefault="00B61E88" w:rsidP="00B61E88">
      <w:pPr>
        <w:pStyle w:val="JROCBodyText"/>
        <w:jc w:val="both"/>
        <w:rPr>
          <w:rFonts w:asciiTheme="minorHAnsi" w:hAnsiTheme="minorHAnsi" w:cstheme="minorHAnsi"/>
          <w:sz w:val="22"/>
          <w:szCs w:val="22"/>
        </w:rPr>
      </w:pPr>
    </w:p>
    <w:p w14:paraId="59F6853F" w14:textId="70DF6B45" w:rsidR="00676500" w:rsidRPr="00BC2F7D" w:rsidRDefault="00676500" w:rsidP="00BC2F7D">
      <w:pPr>
        <w:pStyle w:val="JROCBodyText"/>
        <w:ind w:right="566"/>
        <w:jc w:val="both"/>
        <w:rPr>
          <w:rFonts w:asciiTheme="minorHAnsi" w:hAnsiTheme="minorHAnsi" w:cstheme="minorBidi"/>
          <w:sz w:val="22"/>
          <w:szCs w:val="22"/>
        </w:rPr>
      </w:pPr>
      <w:r w:rsidRPr="00BC2F7D">
        <w:rPr>
          <w:rFonts w:asciiTheme="minorHAnsi" w:hAnsiTheme="minorHAnsi" w:cstheme="minorBidi"/>
          <w:sz w:val="22"/>
          <w:szCs w:val="22"/>
        </w:rPr>
        <w:t xml:space="preserve">As set out in its Terms of Reference, the Strategic Working Group is expected to produce a report setting out views on how Open Banking should be developed beyond its current requirements, why certain priorities should be considered, and what the suggested costs and benefits are of the proposals put forward for the Joint Regulatory Oversight Committee’s consideration. The questions listed below, are intended to provide the Strategic Working Group with guidance on what the Joint Regulatory Oversight Committee is expecting </w:t>
      </w:r>
      <w:r w:rsidR="002E6F61" w:rsidRPr="00BC2F7D">
        <w:rPr>
          <w:rFonts w:asciiTheme="minorHAnsi" w:hAnsiTheme="minorHAnsi" w:cstheme="minorBidi"/>
          <w:sz w:val="22"/>
          <w:szCs w:val="22"/>
        </w:rPr>
        <w:t>to form part of the report</w:t>
      </w:r>
      <w:r w:rsidR="7B808A57" w:rsidRPr="322C11AC">
        <w:rPr>
          <w:rFonts w:asciiTheme="minorHAnsi" w:hAnsiTheme="minorHAnsi" w:cstheme="minorBidi"/>
          <w:sz w:val="22"/>
          <w:szCs w:val="22"/>
        </w:rPr>
        <w:t xml:space="preserve"> under each of the three priorities</w:t>
      </w:r>
      <w:r w:rsidR="002E6F61" w:rsidRPr="00BC2F7D">
        <w:rPr>
          <w:rFonts w:asciiTheme="minorHAnsi" w:hAnsiTheme="minorHAnsi" w:cstheme="minorBidi"/>
          <w:sz w:val="22"/>
          <w:szCs w:val="22"/>
        </w:rPr>
        <w:t xml:space="preserve">. We expect </w:t>
      </w:r>
      <w:r w:rsidR="5DA8F6C2" w:rsidRPr="322C11AC">
        <w:rPr>
          <w:rFonts w:asciiTheme="minorHAnsi" w:hAnsiTheme="minorHAnsi" w:cstheme="minorBidi"/>
          <w:sz w:val="22"/>
          <w:szCs w:val="22"/>
        </w:rPr>
        <w:t xml:space="preserve">any </w:t>
      </w:r>
      <w:r w:rsidR="002E6F61" w:rsidRPr="00BC2F7D">
        <w:rPr>
          <w:rFonts w:asciiTheme="minorHAnsi" w:hAnsiTheme="minorHAnsi" w:cstheme="minorBidi"/>
          <w:sz w:val="22"/>
          <w:szCs w:val="22"/>
        </w:rPr>
        <w:t xml:space="preserve">differences of opinion between Strategic Working Group members to be set out clearly in the report. </w:t>
      </w:r>
      <w:r w:rsidRPr="00BC2F7D">
        <w:rPr>
          <w:rFonts w:asciiTheme="minorHAnsi" w:hAnsiTheme="minorHAnsi" w:cstheme="minorBidi"/>
          <w:sz w:val="22"/>
          <w:szCs w:val="22"/>
        </w:rPr>
        <w:t xml:space="preserve"> </w:t>
      </w:r>
    </w:p>
    <w:p w14:paraId="22FF3213" w14:textId="77777777" w:rsidR="00676500" w:rsidRDefault="00676500" w:rsidP="00B61E88">
      <w:pPr>
        <w:pStyle w:val="JROCBodyText"/>
        <w:jc w:val="both"/>
        <w:rPr>
          <w:rFonts w:asciiTheme="minorHAnsi" w:hAnsiTheme="minorHAnsi" w:cstheme="minorBidi"/>
          <w:b/>
          <w:bCs/>
          <w:color w:val="006485" w:themeColor="accent1" w:themeShade="BF"/>
          <w:sz w:val="22"/>
          <w:szCs w:val="22"/>
        </w:rPr>
      </w:pPr>
    </w:p>
    <w:p w14:paraId="322D164F" w14:textId="6162B679" w:rsidR="00B61E88" w:rsidRPr="006A37DB" w:rsidRDefault="0014449D" w:rsidP="00B61E88">
      <w:pPr>
        <w:pStyle w:val="JROCBodyText"/>
        <w:jc w:val="both"/>
        <w:rPr>
          <w:rFonts w:asciiTheme="minorHAnsi" w:hAnsiTheme="minorHAnsi" w:cstheme="minorBidi"/>
          <w:b/>
          <w:bCs/>
          <w:color w:val="006485"/>
          <w:sz w:val="22"/>
          <w:szCs w:val="22"/>
        </w:rPr>
      </w:pPr>
      <w:r w:rsidRPr="19E1BCB0">
        <w:rPr>
          <w:rFonts w:asciiTheme="minorHAnsi" w:hAnsiTheme="minorHAnsi" w:cstheme="minorBidi"/>
          <w:b/>
          <w:bCs/>
          <w:color w:val="006485" w:themeColor="accent1" w:themeShade="BF"/>
          <w:sz w:val="22"/>
          <w:szCs w:val="22"/>
        </w:rPr>
        <w:t>Key Priority 1: Establishing a sustainable open banking ecosystem beyond regulatory requirements</w:t>
      </w:r>
    </w:p>
    <w:p w14:paraId="06BD9B23" w14:textId="77777777" w:rsidR="00B61E88" w:rsidRPr="006A37DB" w:rsidRDefault="00B61E88" w:rsidP="00B61E88">
      <w:pPr>
        <w:pStyle w:val="JROCBodyText"/>
        <w:jc w:val="both"/>
        <w:rPr>
          <w:rFonts w:asciiTheme="minorHAnsi" w:hAnsiTheme="minorHAnsi" w:cstheme="minorHAnsi"/>
          <w:b/>
          <w:bCs/>
          <w:color w:val="006485"/>
          <w:sz w:val="22"/>
          <w:szCs w:val="22"/>
        </w:rPr>
      </w:pPr>
    </w:p>
    <w:p w14:paraId="32F5374D" w14:textId="77777777" w:rsidR="00B61E88" w:rsidRPr="006A37DB" w:rsidRDefault="0014449D" w:rsidP="00B61E88">
      <w:pPr>
        <w:pStyle w:val="JROCBodyText"/>
        <w:jc w:val="both"/>
        <w:rPr>
          <w:rFonts w:asciiTheme="minorHAnsi" w:hAnsiTheme="minorHAnsi" w:cstheme="minorHAnsi"/>
          <w:b/>
          <w:bCs/>
          <w:sz w:val="22"/>
          <w:szCs w:val="22"/>
        </w:rPr>
      </w:pPr>
      <w:r w:rsidRPr="006A37DB">
        <w:rPr>
          <w:rFonts w:asciiTheme="minorHAnsi" w:hAnsiTheme="minorHAnsi" w:cstheme="minorHAnsi"/>
          <w:b/>
          <w:bCs/>
          <w:sz w:val="22"/>
          <w:szCs w:val="22"/>
        </w:rPr>
        <w:t>1.1 Rules and standards</w:t>
      </w:r>
    </w:p>
    <w:p w14:paraId="0457578C" w14:textId="77777777" w:rsidR="00B61E88" w:rsidRPr="006A37DB" w:rsidRDefault="00B61E88" w:rsidP="00B61E88">
      <w:pPr>
        <w:pStyle w:val="JROCBodyText"/>
        <w:jc w:val="both"/>
        <w:rPr>
          <w:rFonts w:asciiTheme="minorHAnsi" w:hAnsiTheme="minorHAnsi" w:cstheme="minorHAnsi"/>
          <w:sz w:val="22"/>
          <w:szCs w:val="22"/>
        </w:rPr>
      </w:pPr>
    </w:p>
    <w:p w14:paraId="25C64FC8" w14:textId="77777777" w:rsidR="00B61E88" w:rsidRPr="006A37DB" w:rsidRDefault="0014449D" w:rsidP="00B61E88">
      <w:pPr>
        <w:pStyle w:val="JROCBodyText"/>
        <w:numPr>
          <w:ilvl w:val="0"/>
          <w:numId w:val="4"/>
        </w:numPr>
        <w:ind w:right="566"/>
        <w:jc w:val="both"/>
        <w:rPr>
          <w:rFonts w:asciiTheme="minorHAnsi" w:hAnsiTheme="minorHAnsi" w:cstheme="minorBidi"/>
          <w:sz w:val="22"/>
          <w:szCs w:val="22"/>
        </w:rPr>
      </w:pPr>
      <w:r w:rsidRPr="77E09535">
        <w:rPr>
          <w:rFonts w:asciiTheme="minorHAnsi" w:hAnsiTheme="minorHAnsi" w:cstheme="minorBidi"/>
          <w:b/>
          <w:sz w:val="22"/>
          <w:szCs w:val="22"/>
        </w:rPr>
        <w:t>Refine and evolve OBIE standards</w:t>
      </w:r>
      <w:r w:rsidRPr="77E09535">
        <w:rPr>
          <w:rFonts w:asciiTheme="minorHAnsi" w:hAnsiTheme="minorHAnsi" w:cstheme="minorBidi"/>
          <w:sz w:val="22"/>
          <w:szCs w:val="22"/>
        </w:rPr>
        <w:t>: to identify and address possible gaps in current guidance and standards</w:t>
      </w:r>
    </w:p>
    <w:p w14:paraId="43EF6ECB" w14:textId="77777777" w:rsidR="00B61E88" w:rsidRPr="006A37DB" w:rsidRDefault="0014449D" w:rsidP="00B61E88">
      <w:pPr>
        <w:pStyle w:val="JROCBodyText"/>
        <w:numPr>
          <w:ilvl w:val="0"/>
          <w:numId w:val="4"/>
        </w:numPr>
        <w:ind w:right="566"/>
        <w:jc w:val="both"/>
        <w:rPr>
          <w:rFonts w:asciiTheme="minorHAnsi" w:hAnsiTheme="minorHAnsi" w:cstheme="minorBidi"/>
          <w:sz w:val="22"/>
          <w:szCs w:val="22"/>
        </w:rPr>
      </w:pPr>
      <w:r w:rsidRPr="2DF96248">
        <w:rPr>
          <w:rFonts w:asciiTheme="minorHAnsi" w:hAnsiTheme="minorHAnsi" w:cstheme="minorBidi"/>
          <w:b/>
          <w:sz w:val="22"/>
          <w:szCs w:val="22"/>
        </w:rPr>
        <w:t>Multilateral agreements</w:t>
      </w:r>
      <w:r w:rsidRPr="2DF96248">
        <w:rPr>
          <w:rFonts w:asciiTheme="minorHAnsi" w:hAnsiTheme="minorHAnsi" w:cstheme="minorBidi"/>
          <w:sz w:val="22"/>
          <w:szCs w:val="22"/>
        </w:rPr>
        <w:t xml:space="preserve">: ability for new agreements to be formed between parties, </w:t>
      </w:r>
      <w:r w:rsidRPr="5CB9F988">
        <w:rPr>
          <w:rFonts w:asciiTheme="minorHAnsi" w:hAnsiTheme="minorHAnsi" w:cstheme="minorBidi"/>
          <w:sz w:val="22"/>
          <w:szCs w:val="22"/>
        </w:rPr>
        <w:t xml:space="preserve">underpinned </w:t>
      </w:r>
      <w:r w:rsidRPr="3967E381">
        <w:rPr>
          <w:rFonts w:asciiTheme="minorHAnsi" w:hAnsiTheme="minorHAnsi" w:cstheme="minorBidi"/>
          <w:sz w:val="22"/>
          <w:szCs w:val="22"/>
        </w:rPr>
        <w:t xml:space="preserve">by </w:t>
      </w:r>
      <w:r w:rsidRPr="646323DE">
        <w:rPr>
          <w:rFonts w:asciiTheme="minorHAnsi" w:hAnsiTheme="minorHAnsi" w:cstheme="minorBidi"/>
          <w:sz w:val="22"/>
          <w:szCs w:val="22"/>
        </w:rPr>
        <w:t xml:space="preserve">updated </w:t>
      </w:r>
      <w:r w:rsidRPr="3253A780">
        <w:rPr>
          <w:rFonts w:asciiTheme="minorHAnsi" w:hAnsiTheme="minorHAnsi" w:cstheme="minorBidi"/>
          <w:sz w:val="22"/>
          <w:szCs w:val="22"/>
        </w:rPr>
        <w:t>infrastructure (</w:t>
      </w:r>
      <w:r w:rsidRPr="6EA18DCC">
        <w:rPr>
          <w:rFonts w:asciiTheme="minorHAnsi" w:hAnsiTheme="minorHAnsi" w:cstheme="minorBidi"/>
          <w:sz w:val="22"/>
          <w:szCs w:val="22"/>
        </w:rPr>
        <w:t>incl. API</w:t>
      </w:r>
      <w:r w:rsidRPr="1DBEF7D0">
        <w:rPr>
          <w:rFonts w:asciiTheme="minorHAnsi" w:hAnsiTheme="minorHAnsi" w:cstheme="minorBidi"/>
          <w:sz w:val="22"/>
          <w:szCs w:val="22"/>
        </w:rPr>
        <w:t xml:space="preserve"> </w:t>
      </w:r>
      <w:r w:rsidRPr="4FCAF0B1">
        <w:rPr>
          <w:rFonts w:asciiTheme="minorHAnsi" w:hAnsiTheme="minorHAnsi" w:cstheme="minorBidi"/>
          <w:sz w:val="22"/>
          <w:szCs w:val="22"/>
        </w:rPr>
        <w:t>standards</w:t>
      </w:r>
      <w:r w:rsidRPr="2AEF7419">
        <w:rPr>
          <w:rFonts w:asciiTheme="minorHAnsi" w:hAnsiTheme="minorHAnsi" w:cstheme="minorBidi"/>
          <w:sz w:val="22"/>
          <w:szCs w:val="22"/>
        </w:rPr>
        <w:t>)</w:t>
      </w:r>
      <w:r w:rsidRPr="2DF96248">
        <w:rPr>
          <w:rFonts w:asciiTheme="minorHAnsi" w:hAnsiTheme="minorHAnsi" w:cstheme="minorBidi"/>
          <w:sz w:val="22"/>
          <w:szCs w:val="22"/>
        </w:rPr>
        <w:t xml:space="preserve"> </w:t>
      </w:r>
      <w:r w:rsidRPr="4C7F8F10">
        <w:rPr>
          <w:rFonts w:asciiTheme="minorHAnsi" w:hAnsiTheme="minorHAnsi" w:cstheme="minorBidi"/>
          <w:sz w:val="22"/>
          <w:szCs w:val="22"/>
        </w:rPr>
        <w:t xml:space="preserve">that would extend </w:t>
      </w:r>
      <w:r w:rsidRPr="2DF96248">
        <w:rPr>
          <w:rFonts w:asciiTheme="minorHAnsi" w:hAnsiTheme="minorHAnsi" w:cstheme="minorBidi"/>
          <w:sz w:val="22"/>
          <w:szCs w:val="22"/>
        </w:rPr>
        <w:t>beyond the scope of the CMA Order</w:t>
      </w:r>
      <w:r w:rsidRPr="33C8B5BA">
        <w:rPr>
          <w:rFonts w:asciiTheme="minorHAnsi" w:hAnsiTheme="minorHAnsi" w:cstheme="minorBidi"/>
          <w:sz w:val="22"/>
          <w:szCs w:val="22"/>
        </w:rPr>
        <w:t xml:space="preserve"> and </w:t>
      </w:r>
      <w:r w:rsidRPr="4F89EB42">
        <w:rPr>
          <w:rFonts w:asciiTheme="minorHAnsi" w:hAnsiTheme="minorHAnsi" w:cstheme="minorBidi"/>
          <w:sz w:val="22"/>
          <w:szCs w:val="22"/>
        </w:rPr>
        <w:t xml:space="preserve">existing legislative </w:t>
      </w:r>
      <w:r w:rsidRPr="59E03104">
        <w:rPr>
          <w:rFonts w:asciiTheme="minorHAnsi" w:hAnsiTheme="minorHAnsi" w:cstheme="minorBidi"/>
          <w:sz w:val="22"/>
          <w:szCs w:val="22"/>
        </w:rPr>
        <w:t>requirements</w:t>
      </w:r>
    </w:p>
    <w:p w14:paraId="537A31FE" w14:textId="77777777" w:rsidR="00B61E88" w:rsidRPr="006A37DB" w:rsidRDefault="0014449D" w:rsidP="00B61E88">
      <w:pPr>
        <w:pStyle w:val="JROCBodyText"/>
        <w:numPr>
          <w:ilvl w:val="0"/>
          <w:numId w:val="4"/>
        </w:numPr>
        <w:ind w:right="566"/>
        <w:jc w:val="both"/>
        <w:rPr>
          <w:rFonts w:asciiTheme="minorHAnsi" w:hAnsiTheme="minorHAnsi" w:cstheme="minorBidi"/>
          <w:sz w:val="22"/>
          <w:szCs w:val="22"/>
        </w:rPr>
      </w:pPr>
      <w:r w:rsidRPr="40C48F04">
        <w:rPr>
          <w:rFonts w:asciiTheme="minorHAnsi" w:hAnsiTheme="minorHAnsi" w:cstheme="minorBidi"/>
          <w:b/>
          <w:sz w:val="22"/>
          <w:szCs w:val="22"/>
        </w:rPr>
        <w:t>API availability and performance</w:t>
      </w:r>
      <w:r w:rsidRPr="40C48F04">
        <w:rPr>
          <w:rFonts w:asciiTheme="minorHAnsi" w:hAnsiTheme="minorHAnsi" w:cstheme="minorBidi"/>
          <w:sz w:val="22"/>
          <w:szCs w:val="22"/>
        </w:rPr>
        <w:t xml:space="preserve">: </w:t>
      </w:r>
      <w:r w:rsidRPr="535F9615">
        <w:rPr>
          <w:rFonts w:asciiTheme="minorHAnsi" w:hAnsiTheme="minorHAnsi" w:cstheme="minorBidi"/>
          <w:sz w:val="22"/>
          <w:szCs w:val="22"/>
        </w:rPr>
        <w:t xml:space="preserve">Sufficient </w:t>
      </w:r>
      <w:r w:rsidRPr="300D800E">
        <w:rPr>
          <w:rFonts w:asciiTheme="minorHAnsi" w:hAnsiTheme="minorHAnsi" w:cstheme="minorBidi"/>
          <w:sz w:val="22"/>
          <w:szCs w:val="22"/>
        </w:rPr>
        <w:t>customer</w:t>
      </w:r>
      <w:r w:rsidRPr="40C48F04">
        <w:rPr>
          <w:rFonts w:asciiTheme="minorHAnsi" w:hAnsiTheme="minorHAnsi" w:cstheme="minorBidi"/>
          <w:sz w:val="22"/>
          <w:szCs w:val="22"/>
        </w:rPr>
        <w:t xml:space="preserve"> journeys and end-to-end capacity</w:t>
      </w:r>
      <w:r w:rsidRPr="652EE082">
        <w:rPr>
          <w:rFonts w:asciiTheme="minorHAnsi" w:hAnsiTheme="minorHAnsi" w:cstheme="minorBidi"/>
          <w:sz w:val="22"/>
          <w:szCs w:val="22"/>
        </w:rPr>
        <w:t xml:space="preserve"> </w:t>
      </w:r>
      <w:r w:rsidRPr="058EE42F">
        <w:rPr>
          <w:rFonts w:asciiTheme="minorHAnsi" w:hAnsiTheme="minorHAnsi" w:cstheme="minorBidi"/>
          <w:sz w:val="22"/>
          <w:szCs w:val="22"/>
        </w:rPr>
        <w:t xml:space="preserve">to </w:t>
      </w:r>
      <w:r w:rsidRPr="102A20E0">
        <w:rPr>
          <w:rFonts w:asciiTheme="minorHAnsi" w:hAnsiTheme="minorHAnsi" w:cstheme="minorBidi"/>
          <w:sz w:val="22"/>
          <w:szCs w:val="22"/>
        </w:rPr>
        <w:t>support a</w:t>
      </w:r>
      <w:r w:rsidRPr="6CD80AD8">
        <w:rPr>
          <w:rFonts w:asciiTheme="minorHAnsi" w:hAnsiTheme="minorHAnsi" w:cstheme="minorBidi"/>
          <w:sz w:val="22"/>
          <w:szCs w:val="22"/>
        </w:rPr>
        <w:t xml:space="preserve"> wider range of </w:t>
      </w:r>
      <w:r w:rsidRPr="4985F4D1">
        <w:rPr>
          <w:rFonts w:asciiTheme="minorHAnsi" w:hAnsiTheme="minorHAnsi" w:cstheme="minorBidi"/>
          <w:sz w:val="22"/>
          <w:szCs w:val="22"/>
        </w:rPr>
        <w:t>use cases</w:t>
      </w:r>
    </w:p>
    <w:p w14:paraId="11DCCBB9" w14:textId="7AA25846" w:rsidR="00B61E88" w:rsidRPr="006A37DB" w:rsidRDefault="0014449D" w:rsidP="101FF69C">
      <w:pPr>
        <w:pStyle w:val="JROCBodyText"/>
        <w:numPr>
          <w:ilvl w:val="0"/>
          <w:numId w:val="4"/>
        </w:numPr>
        <w:ind w:right="566"/>
        <w:jc w:val="both"/>
        <w:rPr>
          <w:rFonts w:asciiTheme="minorHAnsi" w:hAnsiTheme="minorHAnsi" w:cstheme="minorBidi"/>
          <w:sz w:val="22"/>
          <w:szCs w:val="22"/>
        </w:rPr>
      </w:pPr>
      <w:r w:rsidRPr="101FF69C">
        <w:rPr>
          <w:rFonts w:asciiTheme="minorHAnsi" w:hAnsiTheme="minorHAnsi" w:cstheme="minorBidi"/>
          <w:b/>
          <w:bCs/>
          <w:sz w:val="22"/>
          <w:szCs w:val="22"/>
        </w:rPr>
        <w:t>Dispute resolution and redress</w:t>
      </w:r>
      <w:r w:rsidRPr="101FF69C">
        <w:rPr>
          <w:rFonts w:asciiTheme="minorHAnsi" w:hAnsiTheme="minorHAnsi" w:cstheme="minorBidi"/>
          <w:sz w:val="22"/>
          <w:szCs w:val="22"/>
        </w:rPr>
        <w:t>: clear dispute, redress and crisis management processes, including in the event of fraud or data breach</w:t>
      </w:r>
    </w:p>
    <w:p w14:paraId="5E8021A4" w14:textId="77777777" w:rsidR="00B61E88" w:rsidRPr="006A37DB" w:rsidRDefault="00B61E88" w:rsidP="00B61E88">
      <w:pPr>
        <w:pStyle w:val="JROCBodyText"/>
        <w:jc w:val="both"/>
        <w:rPr>
          <w:rFonts w:asciiTheme="minorHAnsi" w:hAnsiTheme="minorHAnsi" w:cstheme="minorHAnsi"/>
          <w:sz w:val="22"/>
          <w:szCs w:val="22"/>
        </w:rPr>
      </w:pPr>
    </w:p>
    <w:p w14:paraId="74977B93" w14:textId="77777777" w:rsidR="00B61E88" w:rsidRPr="006A37DB" w:rsidRDefault="0014449D" w:rsidP="00B61E88">
      <w:pPr>
        <w:pStyle w:val="JROCBodyText"/>
        <w:jc w:val="both"/>
        <w:rPr>
          <w:rFonts w:asciiTheme="minorHAnsi" w:hAnsiTheme="minorHAnsi" w:cstheme="minorHAnsi"/>
          <w:b/>
          <w:bCs/>
          <w:sz w:val="22"/>
          <w:szCs w:val="22"/>
        </w:rPr>
      </w:pPr>
      <w:r w:rsidRPr="006A37DB">
        <w:rPr>
          <w:rFonts w:asciiTheme="minorHAnsi" w:hAnsiTheme="minorHAnsi" w:cstheme="minorHAnsi"/>
          <w:b/>
          <w:bCs/>
          <w:sz w:val="22"/>
          <w:szCs w:val="22"/>
        </w:rPr>
        <w:t>1.2 Trusted ecosystem with visibility and clarity of roles</w:t>
      </w:r>
    </w:p>
    <w:p w14:paraId="726C9EED" w14:textId="77777777" w:rsidR="00B61E88" w:rsidRPr="006A37DB" w:rsidRDefault="00B61E88" w:rsidP="00B61E88">
      <w:pPr>
        <w:pStyle w:val="JROCBodyText"/>
        <w:ind w:left="720" w:right="566"/>
        <w:jc w:val="both"/>
        <w:rPr>
          <w:rFonts w:asciiTheme="minorHAnsi" w:hAnsiTheme="minorHAnsi" w:cstheme="minorHAnsi"/>
          <w:sz w:val="22"/>
          <w:szCs w:val="22"/>
        </w:rPr>
      </w:pPr>
    </w:p>
    <w:p w14:paraId="4C19D2EC" w14:textId="77777777" w:rsidR="00B61E88" w:rsidRPr="006A37DB" w:rsidRDefault="0014449D" w:rsidP="00B61E88">
      <w:pPr>
        <w:pStyle w:val="JROCBodyText"/>
        <w:numPr>
          <w:ilvl w:val="0"/>
          <w:numId w:val="4"/>
        </w:numPr>
        <w:ind w:right="566"/>
        <w:jc w:val="both"/>
        <w:rPr>
          <w:rFonts w:asciiTheme="minorHAnsi" w:hAnsiTheme="minorHAnsi" w:cstheme="minorBidi"/>
          <w:sz w:val="22"/>
          <w:szCs w:val="22"/>
        </w:rPr>
      </w:pPr>
      <w:r w:rsidRPr="4A0CBA86">
        <w:rPr>
          <w:rFonts w:asciiTheme="minorHAnsi" w:hAnsiTheme="minorHAnsi" w:cstheme="minorBidi"/>
          <w:b/>
          <w:sz w:val="22"/>
          <w:szCs w:val="22"/>
        </w:rPr>
        <w:t>End users' trust</w:t>
      </w:r>
      <w:r w:rsidRPr="4A0CBA86">
        <w:rPr>
          <w:rFonts w:asciiTheme="minorHAnsi" w:hAnsiTheme="minorHAnsi" w:cstheme="minorBidi"/>
          <w:sz w:val="22"/>
          <w:szCs w:val="22"/>
        </w:rPr>
        <w:t xml:space="preserve"> in the ecosystem - consider possible solutions for strengthening trust</w:t>
      </w:r>
    </w:p>
    <w:p w14:paraId="15BD8612" w14:textId="77777777" w:rsidR="00B61E88" w:rsidRPr="006A37DB" w:rsidRDefault="0014449D" w:rsidP="00B61E88">
      <w:pPr>
        <w:pStyle w:val="JROCBodyText"/>
        <w:numPr>
          <w:ilvl w:val="0"/>
          <w:numId w:val="4"/>
        </w:numPr>
        <w:ind w:right="566"/>
        <w:jc w:val="both"/>
        <w:rPr>
          <w:rFonts w:asciiTheme="minorHAnsi" w:hAnsiTheme="minorHAnsi" w:cstheme="minorHAnsi"/>
          <w:sz w:val="22"/>
          <w:szCs w:val="22"/>
        </w:rPr>
      </w:pPr>
      <w:r w:rsidRPr="006A37DB">
        <w:rPr>
          <w:rFonts w:asciiTheme="minorHAnsi" w:hAnsiTheme="minorHAnsi" w:cstheme="minorHAnsi"/>
          <w:b/>
          <w:bCs/>
          <w:sz w:val="22"/>
          <w:szCs w:val="22"/>
        </w:rPr>
        <w:t>Consumer understanding and awareness</w:t>
      </w:r>
      <w:r w:rsidRPr="006A37DB">
        <w:rPr>
          <w:rFonts w:asciiTheme="minorHAnsi" w:hAnsiTheme="minorHAnsi" w:cstheme="minorHAnsi"/>
          <w:sz w:val="22"/>
          <w:szCs w:val="22"/>
        </w:rPr>
        <w:t xml:space="preserve"> and effective consent management</w:t>
      </w:r>
    </w:p>
    <w:p w14:paraId="22CD2E51" w14:textId="77777777" w:rsidR="00B61E88" w:rsidRPr="006A37DB" w:rsidRDefault="0014449D" w:rsidP="00B61E88">
      <w:pPr>
        <w:pStyle w:val="JROCBodyText"/>
        <w:numPr>
          <w:ilvl w:val="0"/>
          <w:numId w:val="4"/>
        </w:numPr>
        <w:ind w:right="566"/>
        <w:jc w:val="both"/>
        <w:rPr>
          <w:rFonts w:asciiTheme="minorHAnsi" w:hAnsiTheme="minorHAnsi" w:cstheme="minorHAnsi"/>
          <w:sz w:val="22"/>
          <w:szCs w:val="22"/>
        </w:rPr>
      </w:pPr>
      <w:r w:rsidRPr="006A37DB">
        <w:rPr>
          <w:rFonts w:asciiTheme="minorHAnsi" w:hAnsiTheme="minorHAnsi" w:cstheme="minorHAnsi"/>
          <w:b/>
          <w:bCs/>
          <w:sz w:val="22"/>
          <w:szCs w:val="22"/>
        </w:rPr>
        <w:t xml:space="preserve">Visibility and clarity </w:t>
      </w:r>
      <w:r w:rsidRPr="009261A8">
        <w:rPr>
          <w:rFonts w:asciiTheme="minorHAnsi" w:hAnsiTheme="minorHAnsi" w:cstheme="minorHAnsi"/>
          <w:sz w:val="22"/>
          <w:szCs w:val="22"/>
        </w:rPr>
        <w:t>over respective roles</w:t>
      </w:r>
      <w:r w:rsidRPr="006A37DB">
        <w:rPr>
          <w:rFonts w:asciiTheme="minorHAnsi" w:hAnsiTheme="minorHAnsi" w:cstheme="minorHAnsi"/>
          <w:sz w:val="22"/>
          <w:szCs w:val="22"/>
        </w:rPr>
        <w:t xml:space="preserve"> in the ecosystem (including new roles, e.g., for retailer) and access, including for onward sharing</w:t>
      </w:r>
    </w:p>
    <w:p w14:paraId="3476A1BC" w14:textId="77777777" w:rsidR="00B61E88" w:rsidRPr="006A37DB" w:rsidRDefault="00B61E88" w:rsidP="00B61E88">
      <w:pPr>
        <w:pStyle w:val="Default"/>
        <w:jc w:val="both"/>
        <w:rPr>
          <w:rFonts w:asciiTheme="minorHAnsi" w:hAnsiTheme="minorHAnsi" w:cstheme="minorHAnsi"/>
          <w:color w:val="auto"/>
          <w:sz w:val="22"/>
          <w:szCs w:val="22"/>
        </w:rPr>
      </w:pPr>
    </w:p>
    <w:p w14:paraId="462767A3" w14:textId="77777777" w:rsidR="00B61E88" w:rsidRPr="006A37DB" w:rsidRDefault="00B61E88" w:rsidP="00B61E88">
      <w:pPr>
        <w:pStyle w:val="JROCBodyText"/>
        <w:jc w:val="both"/>
        <w:rPr>
          <w:rFonts w:asciiTheme="minorHAnsi" w:hAnsiTheme="minorHAnsi" w:cstheme="minorHAnsi"/>
          <w:b/>
          <w:bCs/>
          <w:sz w:val="22"/>
          <w:szCs w:val="22"/>
        </w:rPr>
      </w:pPr>
    </w:p>
    <w:p w14:paraId="70BFB6D9" w14:textId="77777777" w:rsidR="00B61E88" w:rsidRPr="006A37DB" w:rsidRDefault="0014449D" w:rsidP="00B61E88">
      <w:pPr>
        <w:pStyle w:val="JROCBodyText"/>
        <w:jc w:val="both"/>
        <w:rPr>
          <w:rFonts w:asciiTheme="minorHAnsi" w:hAnsiTheme="minorHAnsi" w:cstheme="minorHAnsi"/>
          <w:b/>
          <w:bCs/>
          <w:color w:val="006485"/>
          <w:sz w:val="22"/>
          <w:szCs w:val="22"/>
        </w:rPr>
      </w:pPr>
      <w:r w:rsidRPr="006A37DB">
        <w:rPr>
          <w:rFonts w:asciiTheme="minorHAnsi" w:hAnsiTheme="minorHAnsi" w:cstheme="minorHAnsi"/>
          <w:b/>
          <w:bCs/>
          <w:color w:val="006485" w:themeColor="accent1" w:themeShade="BF"/>
          <w:sz w:val="22"/>
          <w:szCs w:val="22"/>
        </w:rPr>
        <w:t xml:space="preserve">Questions </w:t>
      </w:r>
      <w:r>
        <w:rPr>
          <w:rFonts w:asciiTheme="minorHAnsi" w:hAnsiTheme="minorHAnsi" w:cstheme="minorHAnsi"/>
          <w:b/>
          <w:bCs/>
          <w:color w:val="006485" w:themeColor="accent1" w:themeShade="BF"/>
          <w:sz w:val="22"/>
          <w:szCs w:val="22"/>
        </w:rPr>
        <w:t>for SWG under Priority 1</w:t>
      </w:r>
    </w:p>
    <w:p w14:paraId="05D68C7C" w14:textId="77777777" w:rsidR="00B61E88" w:rsidRPr="006A37DB" w:rsidRDefault="00B61E88" w:rsidP="00B61E88">
      <w:pPr>
        <w:pStyle w:val="JROCBodyText"/>
        <w:jc w:val="both"/>
        <w:rPr>
          <w:rFonts w:asciiTheme="minorHAnsi" w:hAnsiTheme="minorHAnsi" w:cstheme="minorHAnsi"/>
          <w:b/>
          <w:bCs/>
          <w:color w:val="006485"/>
          <w:sz w:val="22"/>
          <w:szCs w:val="22"/>
        </w:rPr>
      </w:pPr>
    </w:p>
    <w:p w14:paraId="12D82905" w14:textId="77777777" w:rsidR="00B61E88" w:rsidRPr="006A37DB" w:rsidRDefault="0014449D" w:rsidP="00B61E88">
      <w:pPr>
        <w:pStyle w:val="JROCBodyText"/>
        <w:jc w:val="both"/>
        <w:rPr>
          <w:rFonts w:asciiTheme="minorHAnsi" w:hAnsiTheme="minorHAnsi" w:cstheme="minorHAnsi"/>
          <w:b/>
          <w:bCs/>
          <w:sz w:val="22"/>
          <w:szCs w:val="22"/>
        </w:rPr>
      </w:pPr>
      <w:r w:rsidRPr="006A37DB">
        <w:rPr>
          <w:rFonts w:asciiTheme="minorHAnsi" w:hAnsiTheme="minorHAnsi" w:cstheme="minorHAnsi"/>
          <w:b/>
          <w:bCs/>
          <w:sz w:val="22"/>
          <w:szCs w:val="22"/>
        </w:rPr>
        <w:t>1.1 Rules and standards</w:t>
      </w:r>
    </w:p>
    <w:p w14:paraId="09AA7298" w14:textId="77777777" w:rsidR="00B61E88" w:rsidRPr="006A37DB" w:rsidRDefault="00B61E88" w:rsidP="00B61E88">
      <w:pPr>
        <w:pStyle w:val="JROCBodyText"/>
        <w:ind w:left="720" w:right="566"/>
        <w:jc w:val="both"/>
        <w:rPr>
          <w:rFonts w:asciiTheme="minorHAnsi" w:hAnsiTheme="minorHAnsi" w:cstheme="minorHAnsi"/>
          <w:b/>
          <w:bCs/>
          <w:sz w:val="22"/>
          <w:szCs w:val="22"/>
        </w:rPr>
      </w:pPr>
    </w:p>
    <w:p w14:paraId="6AFAF986" w14:textId="77777777" w:rsidR="00B61E88" w:rsidRPr="006A37DB" w:rsidRDefault="0014449D" w:rsidP="00B61E88">
      <w:pPr>
        <w:pStyle w:val="JROCBodyText"/>
        <w:numPr>
          <w:ilvl w:val="0"/>
          <w:numId w:val="4"/>
        </w:numPr>
        <w:ind w:right="566"/>
        <w:jc w:val="both"/>
        <w:rPr>
          <w:rFonts w:asciiTheme="minorHAnsi" w:hAnsiTheme="minorHAnsi" w:cstheme="minorBidi"/>
          <w:sz w:val="22"/>
          <w:szCs w:val="22"/>
        </w:rPr>
      </w:pPr>
      <w:r w:rsidRPr="19E1BCB0">
        <w:rPr>
          <w:rFonts w:asciiTheme="minorHAnsi" w:hAnsiTheme="minorHAnsi" w:cstheme="minorBidi"/>
          <w:sz w:val="22"/>
          <w:szCs w:val="22"/>
        </w:rPr>
        <w:t>Are there any gaps in current guidance and standards to ensure efficient and safe customer journeys and support broader use cases? If so, what is missing and what needs to be changed?</w:t>
      </w:r>
    </w:p>
    <w:p w14:paraId="39436E62" w14:textId="77777777" w:rsidR="00B61E88" w:rsidRPr="006A37DB" w:rsidRDefault="00B61E88" w:rsidP="00B61E88">
      <w:pPr>
        <w:pStyle w:val="JROCBodyText"/>
        <w:ind w:left="720" w:right="566"/>
        <w:jc w:val="both"/>
        <w:rPr>
          <w:rFonts w:asciiTheme="minorHAnsi" w:hAnsiTheme="minorHAnsi" w:cstheme="minorHAnsi"/>
          <w:sz w:val="22"/>
          <w:szCs w:val="22"/>
        </w:rPr>
      </w:pPr>
    </w:p>
    <w:p w14:paraId="6AEE843C" w14:textId="77777777" w:rsidR="00B61E88" w:rsidRPr="006A37DB" w:rsidRDefault="0014449D" w:rsidP="00B61E88">
      <w:pPr>
        <w:pStyle w:val="JROCBodyText"/>
        <w:numPr>
          <w:ilvl w:val="0"/>
          <w:numId w:val="4"/>
        </w:numPr>
        <w:ind w:right="566"/>
        <w:jc w:val="both"/>
        <w:rPr>
          <w:rFonts w:asciiTheme="minorHAnsi" w:hAnsiTheme="minorHAnsi" w:cstheme="minorHAnsi"/>
          <w:sz w:val="22"/>
          <w:szCs w:val="22"/>
        </w:rPr>
      </w:pPr>
      <w:r w:rsidRPr="006A37DB">
        <w:rPr>
          <w:rFonts w:asciiTheme="minorHAnsi" w:hAnsiTheme="minorHAnsi" w:cstheme="minorHAnsi"/>
          <w:sz w:val="22"/>
          <w:szCs w:val="22"/>
        </w:rPr>
        <w:t xml:space="preserve">Is there a need to improve API availability and performance? What is the evidence and how could it be addressed? </w:t>
      </w:r>
    </w:p>
    <w:p w14:paraId="5B53DB72" w14:textId="77777777" w:rsidR="00B61E88" w:rsidRPr="006A37DB" w:rsidRDefault="00B61E88" w:rsidP="00B61E88">
      <w:pPr>
        <w:pStyle w:val="JROCBodyText"/>
        <w:ind w:left="720" w:right="566"/>
        <w:jc w:val="both"/>
        <w:rPr>
          <w:rFonts w:asciiTheme="minorHAnsi" w:hAnsiTheme="minorHAnsi" w:cstheme="minorHAnsi"/>
          <w:sz w:val="22"/>
          <w:szCs w:val="22"/>
        </w:rPr>
      </w:pPr>
    </w:p>
    <w:p w14:paraId="3B1682C0" w14:textId="6B4391F2" w:rsidR="00B61E88" w:rsidRPr="006A37DB" w:rsidRDefault="0014449D" w:rsidP="00B61E88">
      <w:pPr>
        <w:pStyle w:val="JROCBodyText"/>
        <w:numPr>
          <w:ilvl w:val="0"/>
          <w:numId w:val="4"/>
        </w:numPr>
        <w:ind w:right="566"/>
        <w:jc w:val="both"/>
        <w:rPr>
          <w:rFonts w:asciiTheme="minorHAnsi" w:hAnsiTheme="minorHAnsi" w:cstheme="minorBidi"/>
          <w:sz w:val="22"/>
          <w:szCs w:val="22"/>
        </w:rPr>
      </w:pPr>
      <w:r w:rsidRPr="19E1BCB0">
        <w:rPr>
          <w:rFonts w:asciiTheme="minorHAnsi" w:hAnsiTheme="minorHAnsi" w:cstheme="minorBidi"/>
          <w:sz w:val="22"/>
          <w:szCs w:val="22"/>
        </w:rPr>
        <w:lastRenderedPageBreak/>
        <w:t>What areas would multilateral agreements and updated standards covering services beyond the Order and existing regulations need to cover in order to facilitate continued development of open banking in a safe and efficient manner?</w:t>
      </w:r>
      <w:r w:rsidR="002E6F61">
        <w:rPr>
          <w:rFonts w:asciiTheme="minorHAnsi" w:hAnsiTheme="minorHAnsi" w:cstheme="minorBidi"/>
          <w:sz w:val="22"/>
          <w:szCs w:val="22"/>
        </w:rPr>
        <w:t xml:space="preserve"> Why? </w:t>
      </w:r>
    </w:p>
    <w:p w14:paraId="69A2CD86" w14:textId="77777777" w:rsidR="00B61E88" w:rsidRPr="006A37DB" w:rsidRDefault="00B61E88" w:rsidP="00B61E88">
      <w:pPr>
        <w:pStyle w:val="JROCBodyText"/>
        <w:ind w:left="720" w:right="566"/>
        <w:jc w:val="both"/>
        <w:rPr>
          <w:rFonts w:asciiTheme="minorHAnsi" w:hAnsiTheme="minorHAnsi" w:cstheme="minorHAnsi"/>
          <w:sz w:val="22"/>
          <w:szCs w:val="22"/>
        </w:rPr>
      </w:pPr>
    </w:p>
    <w:p w14:paraId="25B37C5A" w14:textId="3C03B5AA" w:rsidR="00B61E88" w:rsidRPr="006A37DB" w:rsidRDefault="0014449D" w:rsidP="0F2D9594">
      <w:pPr>
        <w:pStyle w:val="JROCBodyText"/>
        <w:numPr>
          <w:ilvl w:val="0"/>
          <w:numId w:val="4"/>
        </w:numPr>
        <w:ind w:right="566"/>
        <w:jc w:val="both"/>
        <w:rPr>
          <w:rFonts w:asciiTheme="minorHAnsi" w:eastAsiaTheme="minorEastAsia" w:hAnsiTheme="minorHAnsi" w:cstheme="minorBidi"/>
          <w:sz w:val="22"/>
          <w:szCs w:val="22"/>
        </w:rPr>
      </w:pPr>
      <w:r w:rsidRPr="101FF69C">
        <w:rPr>
          <w:rFonts w:asciiTheme="minorHAnsi" w:hAnsiTheme="minorHAnsi" w:cstheme="minorBidi"/>
          <w:sz w:val="22"/>
          <w:szCs w:val="22"/>
        </w:rPr>
        <w:t>Are there blockers in developing multilateral agreements</w:t>
      </w:r>
      <w:r w:rsidR="002E6F61" w:rsidRPr="101FF69C">
        <w:rPr>
          <w:rFonts w:asciiTheme="minorHAnsi" w:hAnsiTheme="minorHAnsi" w:cstheme="minorBidi"/>
          <w:sz w:val="22"/>
          <w:szCs w:val="22"/>
        </w:rPr>
        <w:t xml:space="preserve">? </w:t>
      </w:r>
      <w:r w:rsidR="4306D8E2" w:rsidRPr="101FF69C">
        <w:rPr>
          <w:rFonts w:asciiTheme="minorHAnsi" w:hAnsiTheme="minorHAnsi" w:cstheme="minorBidi"/>
          <w:sz w:val="22"/>
          <w:szCs w:val="22"/>
        </w:rPr>
        <w:t xml:space="preserve">Please provide rationale and evidence. </w:t>
      </w:r>
      <w:r w:rsidR="002E6F61" w:rsidRPr="101FF69C">
        <w:rPr>
          <w:rFonts w:asciiTheme="minorHAnsi" w:hAnsiTheme="minorHAnsi" w:cstheme="minorBidi"/>
          <w:sz w:val="22"/>
          <w:szCs w:val="22"/>
        </w:rPr>
        <w:t>W</w:t>
      </w:r>
      <w:r w:rsidRPr="101FF69C">
        <w:rPr>
          <w:rFonts w:asciiTheme="minorHAnsi" w:hAnsiTheme="minorHAnsi" w:cstheme="minorBidi"/>
          <w:sz w:val="22"/>
          <w:szCs w:val="22"/>
        </w:rPr>
        <w:t>ho should be responsible for administering, ensuring compliance with, and taking forward future changes to such agreements?</w:t>
      </w:r>
    </w:p>
    <w:p w14:paraId="71B64708" w14:textId="77777777" w:rsidR="00B61E88" w:rsidRPr="006A37DB" w:rsidRDefault="00B61E88" w:rsidP="00B61E88">
      <w:pPr>
        <w:pStyle w:val="Default"/>
        <w:jc w:val="both"/>
        <w:rPr>
          <w:rFonts w:asciiTheme="minorHAnsi" w:hAnsiTheme="minorHAnsi" w:cstheme="minorHAnsi"/>
          <w:color w:val="auto"/>
          <w:sz w:val="22"/>
          <w:szCs w:val="22"/>
        </w:rPr>
      </w:pPr>
    </w:p>
    <w:p w14:paraId="78D002E7" w14:textId="0F0BA1D6" w:rsidR="00B61E88" w:rsidRPr="00E63865" w:rsidRDefault="0014449D" w:rsidP="62084865">
      <w:pPr>
        <w:pStyle w:val="JROCBodyText"/>
        <w:numPr>
          <w:ilvl w:val="0"/>
          <w:numId w:val="4"/>
        </w:numPr>
        <w:ind w:right="566"/>
        <w:jc w:val="both"/>
        <w:rPr>
          <w:rFonts w:asciiTheme="minorHAnsi" w:hAnsiTheme="minorHAnsi" w:cstheme="minorBidi"/>
          <w:sz w:val="22"/>
          <w:szCs w:val="22"/>
        </w:rPr>
      </w:pPr>
      <w:r w:rsidRPr="62084865">
        <w:rPr>
          <w:rFonts w:asciiTheme="minorHAnsi" w:hAnsiTheme="minorHAnsi" w:cstheme="minorBidi"/>
          <w:sz w:val="22"/>
          <w:szCs w:val="22"/>
        </w:rPr>
        <w:t xml:space="preserve">Identify current gaps and </w:t>
      </w:r>
      <w:r w:rsidR="4605FB43" w:rsidRPr="62084865">
        <w:rPr>
          <w:rFonts w:asciiTheme="minorHAnsi" w:hAnsiTheme="minorHAnsi" w:cstheme="minorBidi"/>
          <w:sz w:val="22"/>
          <w:szCs w:val="22"/>
        </w:rPr>
        <w:t>identify</w:t>
      </w:r>
      <w:r w:rsidRPr="62084865">
        <w:rPr>
          <w:rFonts w:asciiTheme="minorHAnsi" w:hAnsiTheme="minorHAnsi" w:cstheme="minorBidi"/>
          <w:sz w:val="22"/>
          <w:szCs w:val="22"/>
        </w:rPr>
        <w:t xml:space="preserve"> what </w:t>
      </w:r>
      <w:r w:rsidR="1A22E24D" w:rsidRPr="62084865">
        <w:rPr>
          <w:rFonts w:asciiTheme="minorHAnsi" w:hAnsiTheme="minorHAnsi" w:cstheme="minorBidi"/>
          <w:sz w:val="22"/>
          <w:szCs w:val="22"/>
        </w:rPr>
        <w:t>may be</w:t>
      </w:r>
      <w:r w:rsidRPr="62084865">
        <w:rPr>
          <w:rFonts w:asciiTheme="minorHAnsi" w:hAnsiTheme="minorHAnsi" w:cstheme="minorBidi"/>
          <w:sz w:val="22"/>
          <w:szCs w:val="22"/>
        </w:rPr>
        <w:t xml:space="preserve"> needed to put in place effective dispute management, redress and resolution mechanisms and processes across ecosystem participants, e.g., between ASPSPs and TPPs, between end-users and ASPSPs and TPPs</w:t>
      </w:r>
    </w:p>
    <w:p w14:paraId="5F0C41A4" w14:textId="77777777" w:rsidR="00B61E88" w:rsidRPr="006A37DB" w:rsidRDefault="00B61E88" w:rsidP="00B61E88">
      <w:pPr>
        <w:pStyle w:val="JROCBodyText"/>
        <w:ind w:left="720" w:right="566"/>
        <w:jc w:val="both"/>
        <w:rPr>
          <w:rFonts w:asciiTheme="minorHAnsi" w:hAnsiTheme="minorHAnsi" w:cstheme="minorHAnsi"/>
          <w:sz w:val="22"/>
          <w:szCs w:val="22"/>
        </w:rPr>
      </w:pPr>
    </w:p>
    <w:p w14:paraId="743F15CE" w14:textId="77777777" w:rsidR="00B61E88" w:rsidRPr="00273A3C" w:rsidRDefault="0014449D" w:rsidP="00B61E88">
      <w:pPr>
        <w:pStyle w:val="JROCBodyText"/>
        <w:numPr>
          <w:ilvl w:val="0"/>
          <w:numId w:val="4"/>
        </w:numPr>
        <w:ind w:right="566"/>
        <w:jc w:val="both"/>
        <w:rPr>
          <w:rFonts w:asciiTheme="minorHAnsi" w:hAnsiTheme="minorHAnsi" w:cstheme="minorBidi"/>
          <w:sz w:val="22"/>
          <w:szCs w:val="22"/>
        </w:rPr>
      </w:pPr>
      <w:r w:rsidRPr="6D52834C">
        <w:rPr>
          <w:rFonts w:asciiTheme="minorHAnsi" w:hAnsiTheme="minorHAnsi" w:cstheme="minorBidi"/>
          <w:sz w:val="22"/>
          <w:szCs w:val="22"/>
        </w:rPr>
        <w:t>Discuss and consider the development of a crisis management strategy and plan</w:t>
      </w:r>
    </w:p>
    <w:p w14:paraId="333468E3" w14:textId="77777777" w:rsidR="00B61E88" w:rsidRDefault="00B61E88" w:rsidP="00B61E88">
      <w:pPr>
        <w:pStyle w:val="JROCBodyText"/>
        <w:ind w:right="566"/>
        <w:jc w:val="both"/>
        <w:rPr>
          <w:szCs w:val="21"/>
        </w:rPr>
      </w:pPr>
    </w:p>
    <w:p w14:paraId="7CA8996A" w14:textId="77777777" w:rsidR="00B61E88" w:rsidRPr="006A37DB" w:rsidRDefault="00B61E88" w:rsidP="00B61E88">
      <w:pPr>
        <w:pStyle w:val="Default"/>
        <w:jc w:val="both"/>
        <w:rPr>
          <w:rFonts w:asciiTheme="minorHAnsi" w:hAnsiTheme="minorHAnsi" w:cstheme="minorHAnsi"/>
          <w:color w:val="auto"/>
          <w:sz w:val="22"/>
          <w:szCs w:val="22"/>
        </w:rPr>
      </w:pPr>
    </w:p>
    <w:p w14:paraId="6B126640" w14:textId="77777777" w:rsidR="00B61E88" w:rsidRPr="006A37DB" w:rsidRDefault="0014449D" w:rsidP="00B61E88">
      <w:pPr>
        <w:pStyle w:val="JROCBodyText"/>
        <w:jc w:val="both"/>
        <w:rPr>
          <w:rFonts w:asciiTheme="minorHAnsi" w:hAnsiTheme="minorHAnsi" w:cstheme="minorHAnsi"/>
          <w:b/>
          <w:bCs/>
          <w:sz w:val="22"/>
          <w:szCs w:val="22"/>
        </w:rPr>
      </w:pPr>
      <w:r w:rsidRPr="006A37DB">
        <w:rPr>
          <w:rFonts w:asciiTheme="minorHAnsi" w:hAnsiTheme="minorHAnsi" w:cstheme="minorHAnsi"/>
          <w:b/>
          <w:bCs/>
          <w:sz w:val="22"/>
          <w:szCs w:val="22"/>
        </w:rPr>
        <w:t>1.2 Trusted ecosystem with visibility and clarity of roles</w:t>
      </w:r>
    </w:p>
    <w:p w14:paraId="3BE99113" w14:textId="77777777" w:rsidR="00B61E88" w:rsidRPr="006A37DB" w:rsidRDefault="00B61E88" w:rsidP="00B61E88">
      <w:pPr>
        <w:pStyle w:val="Default"/>
        <w:jc w:val="both"/>
        <w:rPr>
          <w:rFonts w:asciiTheme="minorHAnsi" w:hAnsiTheme="minorHAnsi" w:cstheme="minorHAnsi"/>
          <w:color w:val="auto"/>
          <w:sz w:val="22"/>
          <w:szCs w:val="22"/>
        </w:rPr>
      </w:pPr>
    </w:p>
    <w:p w14:paraId="0A6F4811" w14:textId="4C4C3AE0" w:rsidR="00B61E88" w:rsidRPr="006A37DB" w:rsidRDefault="0014449D" w:rsidP="62084865">
      <w:pPr>
        <w:pStyle w:val="JROCBodyText"/>
        <w:numPr>
          <w:ilvl w:val="0"/>
          <w:numId w:val="4"/>
        </w:numPr>
        <w:ind w:right="566"/>
        <w:jc w:val="both"/>
        <w:rPr>
          <w:rFonts w:asciiTheme="minorHAnsi" w:hAnsiTheme="minorHAnsi" w:cstheme="minorBidi"/>
          <w:sz w:val="22"/>
          <w:szCs w:val="22"/>
        </w:rPr>
      </w:pPr>
      <w:r w:rsidRPr="62084865">
        <w:rPr>
          <w:rFonts w:asciiTheme="minorHAnsi" w:hAnsiTheme="minorHAnsi" w:cstheme="minorBidi"/>
          <w:sz w:val="22"/>
          <w:szCs w:val="22"/>
        </w:rPr>
        <w:t>Is something needed to further strengthen consumers and other end users' trust in open banking? Should tools such as trust marks be considered</w:t>
      </w:r>
      <w:r w:rsidR="14480480" w:rsidRPr="62084865">
        <w:rPr>
          <w:rFonts w:asciiTheme="minorHAnsi" w:hAnsiTheme="minorHAnsi" w:cstheme="minorBidi"/>
          <w:sz w:val="22"/>
          <w:szCs w:val="22"/>
        </w:rPr>
        <w:t xml:space="preserve"> or not</w:t>
      </w:r>
      <w:r w:rsidRPr="62084865">
        <w:rPr>
          <w:rFonts w:asciiTheme="minorHAnsi" w:hAnsiTheme="minorHAnsi" w:cstheme="minorBidi"/>
          <w:sz w:val="22"/>
          <w:szCs w:val="22"/>
        </w:rPr>
        <w:t>?</w:t>
      </w:r>
      <w:r w:rsidR="002E6F61" w:rsidRPr="62084865">
        <w:rPr>
          <w:rFonts w:asciiTheme="minorHAnsi" w:hAnsiTheme="minorHAnsi" w:cstheme="minorBidi"/>
          <w:sz w:val="22"/>
          <w:szCs w:val="22"/>
        </w:rPr>
        <w:t xml:space="preserve"> </w:t>
      </w:r>
      <w:r w:rsidR="73883BE7" w:rsidRPr="62084865">
        <w:rPr>
          <w:rFonts w:asciiTheme="minorHAnsi" w:hAnsiTheme="minorHAnsi" w:cstheme="minorBidi"/>
          <w:sz w:val="22"/>
          <w:szCs w:val="22"/>
        </w:rPr>
        <w:t>Please provide rationale and evidence.</w:t>
      </w:r>
    </w:p>
    <w:p w14:paraId="6A2C768F" w14:textId="77777777" w:rsidR="00B61E88" w:rsidRPr="006A37DB" w:rsidRDefault="00B61E88" w:rsidP="00B61E88">
      <w:pPr>
        <w:pStyle w:val="JROCBodyText"/>
        <w:ind w:left="720" w:right="566"/>
        <w:jc w:val="both"/>
        <w:rPr>
          <w:rFonts w:asciiTheme="minorHAnsi" w:hAnsiTheme="minorHAnsi" w:cstheme="minorHAnsi"/>
          <w:sz w:val="22"/>
          <w:szCs w:val="22"/>
        </w:rPr>
      </w:pPr>
    </w:p>
    <w:p w14:paraId="46CD499B" w14:textId="237B7CB1" w:rsidR="00B61E88" w:rsidRPr="006A37DB" w:rsidRDefault="0014449D" w:rsidP="62084865">
      <w:pPr>
        <w:pStyle w:val="JROCBodyText"/>
        <w:numPr>
          <w:ilvl w:val="0"/>
          <w:numId w:val="4"/>
        </w:numPr>
        <w:ind w:right="566"/>
        <w:jc w:val="both"/>
        <w:rPr>
          <w:rFonts w:asciiTheme="minorHAnsi" w:eastAsiaTheme="minorEastAsia" w:hAnsiTheme="minorHAnsi" w:cstheme="minorBidi"/>
          <w:szCs w:val="21"/>
        </w:rPr>
      </w:pPr>
      <w:r w:rsidRPr="62084865">
        <w:rPr>
          <w:rFonts w:asciiTheme="minorHAnsi" w:hAnsiTheme="minorHAnsi" w:cstheme="minorBidi"/>
          <w:sz w:val="22"/>
          <w:szCs w:val="22"/>
        </w:rPr>
        <w:t xml:space="preserve">Are further tools or guidance needed </w:t>
      </w:r>
      <w:r w:rsidR="6A947A13" w:rsidRPr="62084865">
        <w:rPr>
          <w:rFonts w:asciiTheme="minorHAnsi" w:hAnsiTheme="minorHAnsi" w:cstheme="minorBidi"/>
          <w:sz w:val="22"/>
          <w:szCs w:val="22"/>
        </w:rPr>
        <w:t xml:space="preserve">(or not) </w:t>
      </w:r>
      <w:r w:rsidRPr="62084865">
        <w:rPr>
          <w:rFonts w:asciiTheme="minorHAnsi" w:hAnsiTheme="minorHAnsi" w:cstheme="minorBidi"/>
          <w:sz w:val="22"/>
          <w:szCs w:val="22"/>
        </w:rPr>
        <w:t>to increase consumer understanding and awareness, including in considering consent management?</w:t>
      </w:r>
      <w:r w:rsidR="002E6F61" w:rsidRPr="62084865">
        <w:rPr>
          <w:rFonts w:asciiTheme="minorHAnsi" w:hAnsiTheme="minorHAnsi" w:cstheme="minorBidi"/>
          <w:sz w:val="22"/>
          <w:szCs w:val="22"/>
        </w:rPr>
        <w:t xml:space="preserve">  </w:t>
      </w:r>
      <w:r w:rsidR="6140FC7F" w:rsidRPr="62084865">
        <w:rPr>
          <w:rFonts w:asciiTheme="minorHAnsi" w:hAnsiTheme="minorHAnsi" w:cstheme="minorBidi"/>
          <w:sz w:val="22"/>
          <w:szCs w:val="22"/>
        </w:rPr>
        <w:t>Please provide rationale and evidence.</w:t>
      </w:r>
    </w:p>
    <w:p w14:paraId="4C8D8A3D" w14:textId="77777777" w:rsidR="00B61E88" w:rsidRPr="006A37DB" w:rsidRDefault="00B61E88" w:rsidP="00B61E88">
      <w:pPr>
        <w:pStyle w:val="JROCBodyText"/>
        <w:ind w:left="720" w:right="566"/>
        <w:jc w:val="both"/>
        <w:rPr>
          <w:rFonts w:asciiTheme="minorHAnsi" w:hAnsiTheme="minorHAnsi" w:cstheme="minorHAnsi"/>
          <w:sz w:val="22"/>
          <w:szCs w:val="22"/>
        </w:rPr>
      </w:pPr>
    </w:p>
    <w:p w14:paraId="6CFD1236" w14:textId="77777777" w:rsidR="00B61E88" w:rsidRPr="006A37DB" w:rsidRDefault="0014449D" w:rsidP="00B61E88">
      <w:pPr>
        <w:pStyle w:val="JROCBodyText"/>
        <w:numPr>
          <w:ilvl w:val="0"/>
          <w:numId w:val="4"/>
        </w:numPr>
        <w:ind w:right="566"/>
        <w:jc w:val="both"/>
        <w:rPr>
          <w:rFonts w:asciiTheme="minorHAnsi" w:hAnsiTheme="minorHAnsi" w:cstheme="minorHAnsi"/>
          <w:sz w:val="22"/>
          <w:szCs w:val="22"/>
        </w:rPr>
      </w:pPr>
      <w:r w:rsidRPr="006A37DB">
        <w:rPr>
          <w:rFonts w:asciiTheme="minorHAnsi" w:hAnsiTheme="minorHAnsi" w:cstheme="minorHAnsi"/>
          <w:sz w:val="22"/>
          <w:szCs w:val="22"/>
        </w:rPr>
        <w:t>How can we improve the visibility over onward sharing? What is needed? (while taking into account the implication of GDPR and development of smart data legislation)</w:t>
      </w:r>
    </w:p>
    <w:p w14:paraId="43B08978" w14:textId="77777777" w:rsidR="00B61E88" w:rsidRPr="006A37DB" w:rsidRDefault="00B61E88" w:rsidP="00B61E88">
      <w:pPr>
        <w:pStyle w:val="JROCBodyText"/>
        <w:ind w:left="720" w:right="566"/>
        <w:jc w:val="both"/>
        <w:rPr>
          <w:rFonts w:asciiTheme="minorHAnsi" w:hAnsiTheme="minorHAnsi" w:cstheme="minorHAnsi"/>
          <w:sz w:val="22"/>
          <w:szCs w:val="22"/>
        </w:rPr>
      </w:pPr>
    </w:p>
    <w:p w14:paraId="66969124" w14:textId="77777777" w:rsidR="00B61E88" w:rsidRPr="006A37DB" w:rsidRDefault="0014449D" w:rsidP="00B61E88">
      <w:pPr>
        <w:pStyle w:val="JROCBodyText"/>
        <w:numPr>
          <w:ilvl w:val="0"/>
          <w:numId w:val="4"/>
        </w:numPr>
        <w:ind w:right="566"/>
        <w:jc w:val="both"/>
        <w:rPr>
          <w:rFonts w:asciiTheme="minorHAnsi" w:hAnsiTheme="minorHAnsi" w:cstheme="minorBidi"/>
          <w:sz w:val="22"/>
          <w:szCs w:val="22"/>
        </w:rPr>
      </w:pPr>
      <w:r w:rsidRPr="19E1BCB0">
        <w:rPr>
          <w:rFonts w:asciiTheme="minorHAnsi" w:hAnsiTheme="minorHAnsi" w:cstheme="minorBidi"/>
          <w:sz w:val="22"/>
          <w:szCs w:val="22"/>
        </w:rPr>
        <w:t>What needs to be done to define and clarify the roles and inter-relationships of key players in the ecosystem, including firms the information is onward shared with, as well as Pay.UK and retailers?</w:t>
      </w:r>
    </w:p>
    <w:p w14:paraId="394AF608" w14:textId="77777777" w:rsidR="00B61E88" w:rsidRPr="006A37DB" w:rsidRDefault="00B61E88" w:rsidP="00B61E88">
      <w:pPr>
        <w:pStyle w:val="JROCBodyText"/>
        <w:ind w:left="720" w:right="566"/>
        <w:jc w:val="both"/>
        <w:rPr>
          <w:rFonts w:asciiTheme="minorHAnsi" w:hAnsiTheme="minorHAnsi" w:cstheme="minorHAnsi"/>
          <w:sz w:val="22"/>
          <w:szCs w:val="22"/>
        </w:rPr>
      </w:pPr>
    </w:p>
    <w:p w14:paraId="0BCD7696" w14:textId="79C2744B" w:rsidR="00B61E88" w:rsidRPr="006A37DB" w:rsidRDefault="0014449D" w:rsidP="62084865">
      <w:pPr>
        <w:pStyle w:val="JROCBodyText"/>
        <w:numPr>
          <w:ilvl w:val="0"/>
          <w:numId w:val="4"/>
        </w:numPr>
        <w:ind w:right="566"/>
        <w:jc w:val="both"/>
        <w:rPr>
          <w:rFonts w:asciiTheme="minorHAnsi" w:eastAsiaTheme="minorEastAsia" w:hAnsiTheme="minorHAnsi" w:cstheme="minorBidi"/>
          <w:szCs w:val="21"/>
        </w:rPr>
      </w:pPr>
      <w:r w:rsidRPr="62084865">
        <w:rPr>
          <w:rFonts w:asciiTheme="minorHAnsi" w:hAnsiTheme="minorHAnsi" w:cstheme="minorBidi"/>
          <w:sz w:val="22"/>
          <w:szCs w:val="22"/>
        </w:rPr>
        <w:t>What capabilities/functionalities are needed for the ongoing successful operation of open banking? What may need to be provided centrally by the future entity (or another entity) versus distributed?</w:t>
      </w:r>
      <w:r w:rsidR="584D3AAB" w:rsidRPr="62084865">
        <w:rPr>
          <w:rFonts w:asciiTheme="minorHAnsi" w:hAnsiTheme="minorHAnsi" w:cstheme="minorBidi"/>
          <w:sz w:val="22"/>
          <w:szCs w:val="22"/>
        </w:rPr>
        <w:t xml:space="preserve"> Please provide rationale and evidence.</w:t>
      </w:r>
    </w:p>
    <w:p w14:paraId="644B1EA0" w14:textId="77777777" w:rsidR="00B61E88" w:rsidRDefault="00B61E88" w:rsidP="00B61E88">
      <w:pPr>
        <w:pStyle w:val="JROCBodyText"/>
        <w:ind w:left="720" w:right="566"/>
        <w:jc w:val="both"/>
        <w:rPr>
          <w:szCs w:val="21"/>
        </w:rPr>
      </w:pPr>
    </w:p>
    <w:p w14:paraId="30E2BA91" w14:textId="77777777" w:rsidR="00B61E88" w:rsidRDefault="0014449D" w:rsidP="00B61E88">
      <w:pPr>
        <w:spacing w:after="160" w:line="259" w:lineRule="auto"/>
        <w:jc w:val="both"/>
        <w:rPr>
          <w:rFonts w:asciiTheme="minorHAnsi" w:hAnsiTheme="minorHAnsi" w:cstheme="minorHAnsi"/>
          <w:b/>
          <w:bCs/>
          <w:color w:val="006485"/>
          <w:sz w:val="22"/>
          <w:szCs w:val="22"/>
        </w:rPr>
      </w:pPr>
      <w:r>
        <w:rPr>
          <w:rFonts w:asciiTheme="minorHAnsi" w:hAnsiTheme="minorHAnsi" w:cstheme="minorHAnsi"/>
          <w:b/>
          <w:bCs/>
          <w:color w:val="006485" w:themeColor="accent1" w:themeShade="BF"/>
          <w:sz w:val="22"/>
          <w:szCs w:val="22"/>
        </w:rPr>
        <w:br w:type="page"/>
      </w:r>
    </w:p>
    <w:p w14:paraId="051C095F" w14:textId="77777777" w:rsidR="00B61E88" w:rsidRDefault="0014449D" w:rsidP="00B61E88">
      <w:pPr>
        <w:pStyle w:val="JROCBodyText"/>
        <w:jc w:val="both"/>
        <w:rPr>
          <w:rFonts w:asciiTheme="minorHAnsi" w:hAnsiTheme="minorHAnsi" w:cstheme="minorHAnsi"/>
          <w:b/>
          <w:bCs/>
          <w:color w:val="006485"/>
          <w:sz w:val="22"/>
          <w:szCs w:val="22"/>
        </w:rPr>
      </w:pPr>
      <w:r w:rsidRPr="006A37DB">
        <w:rPr>
          <w:rFonts w:asciiTheme="minorHAnsi" w:hAnsiTheme="minorHAnsi" w:cstheme="minorHAnsi"/>
          <w:b/>
          <w:bCs/>
          <w:color w:val="006485" w:themeColor="accent1" w:themeShade="BF"/>
          <w:sz w:val="22"/>
          <w:szCs w:val="22"/>
        </w:rPr>
        <w:lastRenderedPageBreak/>
        <w:t xml:space="preserve">Key Priority </w:t>
      </w:r>
      <w:r>
        <w:rPr>
          <w:rFonts w:asciiTheme="minorHAnsi" w:hAnsiTheme="minorHAnsi" w:cstheme="minorHAnsi"/>
          <w:b/>
          <w:bCs/>
          <w:color w:val="006485" w:themeColor="accent1" w:themeShade="BF"/>
          <w:sz w:val="22"/>
          <w:szCs w:val="22"/>
        </w:rPr>
        <w:t>2</w:t>
      </w:r>
      <w:r w:rsidRPr="006A37DB">
        <w:rPr>
          <w:rFonts w:asciiTheme="minorHAnsi" w:hAnsiTheme="minorHAnsi" w:cstheme="minorHAnsi"/>
          <w:b/>
          <w:bCs/>
          <w:color w:val="006485" w:themeColor="accent1" w:themeShade="BF"/>
          <w:sz w:val="22"/>
          <w:szCs w:val="22"/>
        </w:rPr>
        <w:t xml:space="preserve">: </w:t>
      </w:r>
      <w:r w:rsidRPr="009261A8">
        <w:rPr>
          <w:rFonts w:asciiTheme="minorHAnsi" w:hAnsiTheme="minorHAnsi" w:cstheme="minorHAnsi"/>
          <w:b/>
          <w:bCs/>
          <w:color w:val="006485" w:themeColor="accent1" w:themeShade="BF"/>
          <w:sz w:val="22"/>
          <w:szCs w:val="22"/>
        </w:rPr>
        <w:t>Unlocking the potential of open banking payments</w:t>
      </w:r>
    </w:p>
    <w:p w14:paraId="1FA039EF" w14:textId="77777777" w:rsidR="00B61E88" w:rsidRDefault="00B61E88" w:rsidP="00B61E88">
      <w:pPr>
        <w:pStyle w:val="JROCBodyText"/>
        <w:jc w:val="both"/>
        <w:rPr>
          <w:rFonts w:asciiTheme="minorHAnsi" w:hAnsiTheme="minorHAnsi" w:cstheme="minorHAnsi"/>
          <w:b/>
          <w:bCs/>
          <w:color w:val="006485"/>
          <w:sz w:val="22"/>
          <w:szCs w:val="22"/>
        </w:rPr>
      </w:pPr>
    </w:p>
    <w:p w14:paraId="60DB570B" w14:textId="77777777" w:rsidR="00B61E88" w:rsidRPr="009261A8" w:rsidRDefault="0014449D" w:rsidP="00B61E88">
      <w:pPr>
        <w:pStyle w:val="JROCBodyText"/>
        <w:numPr>
          <w:ilvl w:val="0"/>
          <w:numId w:val="4"/>
        </w:numPr>
        <w:ind w:right="566"/>
        <w:jc w:val="both"/>
        <w:rPr>
          <w:rFonts w:asciiTheme="minorHAnsi" w:hAnsiTheme="minorHAnsi" w:cstheme="minorBidi"/>
          <w:sz w:val="22"/>
          <w:szCs w:val="22"/>
        </w:rPr>
      </w:pPr>
      <w:r w:rsidRPr="19E1BCB0">
        <w:rPr>
          <w:rFonts w:asciiTheme="minorHAnsi" w:hAnsiTheme="minorHAnsi" w:cstheme="minorBidi"/>
          <w:b/>
          <w:bCs/>
          <w:sz w:val="22"/>
          <w:szCs w:val="22"/>
        </w:rPr>
        <w:t>Functionality(</w:t>
      </w:r>
      <w:proofErr w:type="spellStart"/>
      <w:r w:rsidRPr="19E1BCB0">
        <w:rPr>
          <w:rFonts w:asciiTheme="minorHAnsi" w:hAnsiTheme="minorHAnsi" w:cstheme="minorBidi"/>
          <w:b/>
          <w:bCs/>
          <w:sz w:val="22"/>
          <w:szCs w:val="22"/>
        </w:rPr>
        <w:t>ies</w:t>
      </w:r>
      <w:proofErr w:type="spellEnd"/>
      <w:r w:rsidRPr="19E1BCB0">
        <w:rPr>
          <w:rFonts w:asciiTheme="minorHAnsi" w:hAnsiTheme="minorHAnsi" w:cstheme="minorBidi"/>
          <w:b/>
          <w:bCs/>
          <w:sz w:val="22"/>
          <w:szCs w:val="22"/>
        </w:rPr>
        <w:t xml:space="preserve">) </w:t>
      </w:r>
      <w:r w:rsidRPr="19E1BCB0">
        <w:rPr>
          <w:rFonts w:asciiTheme="minorHAnsi" w:hAnsiTheme="minorHAnsi" w:cstheme="minorBidi"/>
          <w:sz w:val="22"/>
          <w:szCs w:val="22"/>
        </w:rPr>
        <w:t xml:space="preserve">available to further develop open banking payments and support new use cases (this should include consideration of balancing effective management and mitigation of fraud risk with facilitating and/or supporting different types of payments such as </w:t>
      </w:r>
      <w:r w:rsidRPr="4FCAF0B1">
        <w:rPr>
          <w:rFonts w:asciiTheme="minorHAnsi" w:hAnsiTheme="minorHAnsi" w:cstheme="minorBidi"/>
          <w:sz w:val="22"/>
          <w:szCs w:val="22"/>
        </w:rPr>
        <w:t>retail transactions and high value payments)</w:t>
      </w:r>
    </w:p>
    <w:p w14:paraId="59A73D4D" w14:textId="77777777" w:rsidR="00B61E88" w:rsidRDefault="0014449D" w:rsidP="00B61E88">
      <w:pPr>
        <w:pStyle w:val="JROCBodyText"/>
        <w:numPr>
          <w:ilvl w:val="0"/>
          <w:numId w:val="4"/>
        </w:numPr>
        <w:ind w:right="566"/>
        <w:jc w:val="both"/>
        <w:rPr>
          <w:rFonts w:asciiTheme="minorHAnsi" w:hAnsiTheme="minorHAnsi" w:cstheme="minorBidi"/>
          <w:sz w:val="22"/>
          <w:szCs w:val="22"/>
        </w:rPr>
      </w:pPr>
      <w:r w:rsidRPr="19E1BCB0">
        <w:rPr>
          <w:rFonts w:asciiTheme="minorHAnsi" w:hAnsiTheme="minorHAnsi" w:cstheme="minorBidi"/>
          <w:sz w:val="22"/>
          <w:szCs w:val="22"/>
        </w:rPr>
        <w:t xml:space="preserve">Alignment of </w:t>
      </w:r>
      <w:r w:rsidRPr="19E1BCB0">
        <w:rPr>
          <w:rFonts w:asciiTheme="minorHAnsi" w:hAnsiTheme="minorHAnsi" w:cstheme="minorBidi"/>
          <w:b/>
          <w:bCs/>
          <w:sz w:val="22"/>
          <w:szCs w:val="22"/>
        </w:rPr>
        <w:t xml:space="preserve">commercial incentives </w:t>
      </w:r>
      <w:r w:rsidRPr="19E1BCB0">
        <w:rPr>
          <w:rFonts w:asciiTheme="minorHAnsi" w:hAnsiTheme="minorHAnsi" w:cstheme="minorBidi"/>
          <w:sz w:val="22"/>
          <w:szCs w:val="22"/>
        </w:rPr>
        <w:t>and conditions for open banking payments to develop sustainably in a way that benefits end users</w:t>
      </w:r>
    </w:p>
    <w:p w14:paraId="7FE799EC" w14:textId="77777777" w:rsidR="00B61E88" w:rsidRDefault="00B61E88" w:rsidP="00B61E88">
      <w:pPr>
        <w:pStyle w:val="JROCBodyText"/>
        <w:ind w:right="566"/>
        <w:jc w:val="both"/>
        <w:rPr>
          <w:rFonts w:asciiTheme="minorHAnsi" w:hAnsiTheme="minorHAnsi" w:cstheme="minorHAnsi"/>
          <w:sz w:val="22"/>
          <w:szCs w:val="22"/>
        </w:rPr>
      </w:pPr>
    </w:p>
    <w:p w14:paraId="7308E299" w14:textId="77777777" w:rsidR="00B61E88" w:rsidRDefault="0014449D" w:rsidP="00B61E88">
      <w:pPr>
        <w:pStyle w:val="JROCBodyText"/>
        <w:ind w:right="566"/>
        <w:jc w:val="both"/>
        <w:rPr>
          <w:rFonts w:asciiTheme="minorHAnsi" w:hAnsiTheme="minorHAnsi" w:cstheme="minorHAnsi"/>
          <w:b/>
          <w:bCs/>
          <w:sz w:val="22"/>
          <w:szCs w:val="22"/>
        </w:rPr>
      </w:pPr>
      <w:r w:rsidRPr="00EC52BE">
        <w:rPr>
          <w:rFonts w:asciiTheme="minorHAnsi" w:hAnsiTheme="minorHAnsi" w:cstheme="minorHAnsi"/>
          <w:b/>
          <w:bCs/>
          <w:sz w:val="22"/>
          <w:szCs w:val="22"/>
        </w:rPr>
        <w:t>Four key outcome areas</w:t>
      </w:r>
      <w:r>
        <w:rPr>
          <w:rFonts w:asciiTheme="minorHAnsi" w:hAnsiTheme="minorHAnsi" w:cstheme="minorHAnsi"/>
          <w:b/>
          <w:bCs/>
          <w:sz w:val="22"/>
          <w:szCs w:val="22"/>
        </w:rPr>
        <w:t>:</w:t>
      </w:r>
    </w:p>
    <w:p w14:paraId="36EA0F21" w14:textId="77777777" w:rsidR="00B61E88" w:rsidRPr="00EC52BE" w:rsidRDefault="00B61E88" w:rsidP="00B61E88">
      <w:pPr>
        <w:pStyle w:val="JROCBodyText"/>
        <w:ind w:right="566"/>
        <w:jc w:val="both"/>
        <w:rPr>
          <w:rFonts w:asciiTheme="minorHAnsi" w:hAnsiTheme="minorHAnsi" w:cstheme="minorHAnsi"/>
          <w:b/>
          <w:bCs/>
          <w:sz w:val="22"/>
          <w:szCs w:val="22"/>
        </w:rPr>
      </w:pPr>
    </w:p>
    <w:p w14:paraId="4C532F18" w14:textId="77777777" w:rsidR="00B61E88" w:rsidRPr="00EC52BE" w:rsidRDefault="0014449D" w:rsidP="00B61E88">
      <w:pPr>
        <w:pStyle w:val="JROCBodyText"/>
        <w:numPr>
          <w:ilvl w:val="0"/>
          <w:numId w:val="5"/>
        </w:numPr>
        <w:ind w:right="566"/>
        <w:jc w:val="both"/>
        <w:rPr>
          <w:rFonts w:asciiTheme="minorHAnsi" w:eastAsiaTheme="minorEastAsia" w:hAnsiTheme="minorHAnsi" w:cstheme="minorBidi"/>
          <w:sz w:val="22"/>
          <w:szCs w:val="22"/>
        </w:rPr>
      </w:pPr>
      <w:r w:rsidRPr="19E1BCB0">
        <w:rPr>
          <w:rFonts w:asciiTheme="minorHAnsi" w:hAnsiTheme="minorHAnsi" w:cstheme="minorBidi"/>
          <w:b/>
          <w:bCs/>
          <w:sz w:val="22"/>
          <w:szCs w:val="22"/>
        </w:rPr>
        <w:t>Functional capability</w:t>
      </w:r>
      <w:r w:rsidRPr="19E1BCB0">
        <w:rPr>
          <w:rFonts w:asciiTheme="minorHAnsi" w:hAnsiTheme="minorHAnsi" w:cstheme="minorBidi"/>
          <w:sz w:val="22"/>
          <w:szCs w:val="22"/>
        </w:rPr>
        <w:t>: operational and technical standards</w:t>
      </w:r>
      <w:r w:rsidRPr="7B78561F">
        <w:rPr>
          <w:rFonts w:asciiTheme="minorHAnsi" w:hAnsiTheme="minorHAnsi" w:cstheme="minorBidi"/>
          <w:sz w:val="22"/>
          <w:szCs w:val="22"/>
        </w:rPr>
        <w:t xml:space="preserve"> that </w:t>
      </w:r>
      <w:r w:rsidRPr="57E14929">
        <w:rPr>
          <w:rFonts w:asciiTheme="minorHAnsi" w:hAnsiTheme="minorHAnsi" w:cstheme="minorBidi"/>
          <w:sz w:val="22"/>
          <w:szCs w:val="22"/>
        </w:rPr>
        <w:t xml:space="preserve">meet the </w:t>
      </w:r>
      <w:r w:rsidRPr="656E9835">
        <w:rPr>
          <w:rFonts w:asciiTheme="minorHAnsi" w:hAnsiTheme="minorHAnsi" w:cstheme="minorBidi"/>
          <w:sz w:val="22"/>
          <w:szCs w:val="22"/>
        </w:rPr>
        <w:t xml:space="preserve">functional </w:t>
      </w:r>
      <w:r w:rsidRPr="36AE00F5">
        <w:rPr>
          <w:rFonts w:asciiTheme="minorHAnsi" w:hAnsiTheme="minorHAnsi" w:cstheme="minorBidi"/>
          <w:sz w:val="22"/>
          <w:szCs w:val="22"/>
        </w:rPr>
        <w:t xml:space="preserve">requirements for a wider </w:t>
      </w:r>
      <w:r w:rsidRPr="4F64DA4B">
        <w:rPr>
          <w:rFonts w:asciiTheme="minorHAnsi" w:hAnsiTheme="minorHAnsi" w:cstheme="minorBidi"/>
          <w:sz w:val="22"/>
          <w:szCs w:val="22"/>
        </w:rPr>
        <w:t xml:space="preserve">set of </w:t>
      </w:r>
      <w:r w:rsidRPr="06063DDE">
        <w:rPr>
          <w:rFonts w:asciiTheme="minorHAnsi" w:hAnsiTheme="minorHAnsi" w:cstheme="minorBidi"/>
          <w:sz w:val="22"/>
          <w:szCs w:val="22"/>
        </w:rPr>
        <w:t xml:space="preserve">open </w:t>
      </w:r>
      <w:r w:rsidRPr="4254242A">
        <w:rPr>
          <w:rFonts w:asciiTheme="minorHAnsi" w:hAnsiTheme="minorHAnsi" w:cstheme="minorBidi"/>
          <w:sz w:val="22"/>
          <w:szCs w:val="22"/>
        </w:rPr>
        <w:t>banking payment</w:t>
      </w:r>
      <w:r w:rsidRPr="20A4430B">
        <w:rPr>
          <w:rFonts w:asciiTheme="minorHAnsi" w:hAnsiTheme="minorHAnsi" w:cstheme="minorBidi"/>
          <w:sz w:val="22"/>
          <w:szCs w:val="22"/>
        </w:rPr>
        <w:t xml:space="preserve"> </w:t>
      </w:r>
      <w:r w:rsidRPr="43F65912">
        <w:rPr>
          <w:rFonts w:asciiTheme="minorHAnsi" w:hAnsiTheme="minorHAnsi" w:cstheme="minorBidi"/>
          <w:sz w:val="22"/>
          <w:szCs w:val="22"/>
        </w:rPr>
        <w:t xml:space="preserve">types, e.g., retail </w:t>
      </w:r>
      <w:r w:rsidRPr="395B1C61">
        <w:rPr>
          <w:rFonts w:asciiTheme="minorHAnsi" w:hAnsiTheme="minorHAnsi" w:cstheme="minorBidi"/>
          <w:sz w:val="22"/>
          <w:szCs w:val="22"/>
        </w:rPr>
        <w:t>transactions</w:t>
      </w:r>
      <w:r>
        <w:br/>
      </w:r>
    </w:p>
    <w:p w14:paraId="2E4277D9" w14:textId="77777777" w:rsidR="00B61E88" w:rsidRPr="00EC52BE" w:rsidRDefault="0014449D" w:rsidP="00B61E88">
      <w:pPr>
        <w:pStyle w:val="JROCBodyText"/>
        <w:numPr>
          <w:ilvl w:val="0"/>
          <w:numId w:val="5"/>
        </w:numPr>
        <w:ind w:right="566"/>
        <w:rPr>
          <w:rFonts w:asciiTheme="minorHAnsi" w:eastAsiaTheme="minorEastAsia" w:hAnsiTheme="minorHAnsi" w:cstheme="minorBidi"/>
          <w:sz w:val="22"/>
          <w:szCs w:val="22"/>
        </w:rPr>
      </w:pPr>
      <w:r w:rsidRPr="00414009">
        <w:rPr>
          <w:rFonts w:asciiTheme="minorHAnsi" w:hAnsiTheme="minorHAnsi" w:cstheme="minorBidi"/>
          <w:b/>
          <w:bCs/>
          <w:sz w:val="22"/>
          <w:szCs w:val="22"/>
        </w:rPr>
        <w:t>Dispute process</w:t>
      </w:r>
      <w:r w:rsidRPr="00414009">
        <w:rPr>
          <w:rFonts w:asciiTheme="minorHAnsi" w:hAnsiTheme="minorHAnsi" w:cstheme="minorBidi"/>
          <w:sz w:val="22"/>
          <w:szCs w:val="22"/>
        </w:rPr>
        <w:t xml:space="preserve">: balanced approach to dispute, risk management and redress so that all parties involved in an open banking payment act together to minimise associated risk and put in place the right processes to ensure that people feel safe when making open banking payments </w:t>
      </w:r>
      <w:r w:rsidRPr="7D8D5AD4">
        <w:rPr>
          <w:rFonts w:asciiTheme="minorHAnsi" w:hAnsiTheme="minorHAnsi" w:cstheme="minorBidi"/>
          <w:color w:val="006485" w:themeColor="accent1" w:themeShade="BF"/>
          <w:sz w:val="22"/>
          <w:szCs w:val="22"/>
        </w:rPr>
        <w:t>[Link to Priority 1]</w:t>
      </w:r>
      <w:r>
        <w:br/>
      </w:r>
    </w:p>
    <w:p w14:paraId="46FC884A" w14:textId="77777777" w:rsidR="00B61E88" w:rsidRPr="00414009" w:rsidRDefault="0014449D" w:rsidP="00B61E88">
      <w:pPr>
        <w:pStyle w:val="JROCBodyText"/>
        <w:numPr>
          <w:ilvl w:val="0"/>
          <w:numId w:val="5"/>
        </w:numPr>
        <w:ind w:right="566"/>
        <w:jc w:val="both"/>
        <w:rPr>
          <w:rFonts w:asciiTheme="minorHAnsi" w:eastAsiaTheme="minorEastAsia" w:hAnsiTheme="minorHAnsi" w:cstheme="minorBidi"/>
          <w:color w:val="006485"/>
          <w:sz w:val="22"/>
          <w:szCs w:val="22"/>
        </w:rPr>
      </w:pPr>
      <w:r w:rsidRPr="7D8D5AD4">
        <w:rPr>
          <w:rFonts w:asciiTheme="minorHAnsi" w:hAnsiTheme="minorHAnsi" w:cstheme="minorBidi"/>
          <w:b/>
          <w:bCs/>
          <w:sz w:val="22"/>
          <w:szCs w:val="22"/>
        </w:rPr>
        <w:t>Sufficient access &amp; reliability</w:t>
      </w:r>
      <w:r w:rsidRPr="7D8D5AD4">
        <w:rPr>
          <w:rFonts w:asciiTheme="minorHAnsi" w:hAnsiTheme="minorHAnsi" w:cstheme="minorBidi"/>
          <w:sz w:val="22"/>
          <w:szCs w:val="22"/>
        </w:rPr>
        <w:t xml:space="preserve">: sufficient availability across the end-to-end payment journey and reliable infrastructure (including APIs) which work together to increase the success rate of open banking payments </w:t>
      </w:r>
      <w:r w:rsidRPr="7D8D5AD4">
        <w:rPr>
          <w:rFonts w:asciiTheme="minorHAnsi" w:hAnsiTheme="minorHAnsi" w:cstheme="minorBidi"/>
          <w:color w:val="006485" w:themeColor="accent1" w:themeShade="BF"/>
          <w:sz w:val="22"/>
          <w:szCs w:val="22"/>
        </w:rPr>
        <w:t>[Link to Priority 1]</w:t>
      </w:r>
    </w:p>
    <w:p w14:paraId="61054B28" w14:textId="77777777" w:rsidR="00B61E88" w:rsidRPr="00EC52BE" w:rsidRDefault="00B61E88" w:rsidP="00B61E88">
      <w:pPr>
        <w:pStyle w:val="JROCBodyText"/>
        <w:ind w:left="720" w:right="566"/>
        <w:jc w:val="both"/>
        <w:rPr>
          <w:rFonts w:asciiTheme="minorHAnsi" w:eastAsiaTheme="minorEastAsia" w:hAnsiTheme="minorHAnsi" w:cstheme="minorBidi"/>
          <w:color w:val="006485"/>
          <w:sz w:val="22"/>
          <w:szCs w:val="22"/>
        </w:rPr>
      </w:pPr>
    </w:p>
    <w:p w14:paraId="23213A4A" w14:textId="77777777" w:rsidR="00B61E88" w:rsidRPr="00EC52BE" w:rsidRDefault="0014449D" w:rsidP="00B61E88">
      <w:pPr>
        <w:pStyle w:val="JROCBodyText"/>
        <w:numPr>
          <w:ilvl w:val="0"/>
          <w:numId w:val="5"/>
        </w:numPr>
        <w:ind w:right="566"/>
        <w:jc w:val="both"/>
        <w:rPr>
          <w:rFonts w:asciiTheme="minorHAnsi" w:hAnsiTheme="minorHAnsi" w:cstheme="minorBidi"/>
          <w:sz w:val="22"/>
          <w:szCs w:val="22"/>
        </w:rPr>
      </w:pPr>
      <w:r w:rsidRPr="047D908E">
        <w:rPr>
          <w:rFonts w:asciiTheme="minorHAnsi" w:hAnsiTheme="minorHAnsi" w:cstheme="minorBidi"/>
          <w:b/>
          <w:bCs/>
          <w:sz w:val="22"/>
          <w:szCs w:val="22"/>
        </w:rPr>
        <w:t>Competitive pricing</w:t>
      </w:r>
      <w:r w:rsidRPr="047D908E">
        <w:rPr>
          <w:rFonts w:asciiTheme="minorHAnsi" w:hAnsiTheme="minorHAnsi" w:cstheme="minorBidi"/>
          <w:sz w:val="22"/>
          <w:szCs w:val="22"/>
        </w:rPr>
        <w:t>: enabling competitive services to develop</w:t>
      </w:r>
      <w:r w:rsidRPr="41B215A1">
        <w:rPr>
          <w:rFonts w:asciiTheme="minorHAnsi" w:hAnsiTheme="minorHAnsi" w:cstheme="minorBidi"/>
          <w:sz w:val="22"/>
          <w:szCs w:val="22"/>
        </w:rPr>
        <w:t xml:space="preserve"> </w:t>
      </w:r>
      <w:r w:rsidRPr="12F17E61">
        <w:rPr>
          <w:rFonts w:asciiTheme="minorHAnsi" w:hAnsiTheme="minorHAnsi" w:cstheme="minorBidi"/>
          <w:sz w:val="22"/>
          <w:szCs w:val="22"/>
        </w:rPr>
        <w:t>and</w:t>
      </w:r>
      <w:r w:rsidRPr="0F85EFB1">
        <w:rPr>
          <w:rFonts w:asciiTheme="minorHAnsi" w:hAnsiTheme="minorHAnsi" w:cstheme="minorBidi"/>
          <w:sz w:val="22"/>
          <w:szCs w:val="22"/>
        </w:rPr>
        <w:t xml:space="preserve">, </w:t>
      </w:r>
      <w:r w:rsidRPr="32D805B8">
        <w:rPr>
          <w:rFonts w:asciiTheme="minorHAnsi" w:hAnsiTheme="minorHAnsi" w:cstheme="minorBidi"/>
          <w:sz w:val="22"/>
          <w:szCs w:val="22"/>
        </w:rPr>
        <w:t xml:space="preserve">where </w:t>
      </w:r>
      <w:r w:rsidRPr="0EFC01D3">
        <w:rPr>
          <w:rFonts w:asciiTheme="minorHAnsi" w:hAnsiTheme="minorHAnsi" w:cstheme="minorBidi"/>
          <w:sz w:val="22"/>
          <w:szCs w:val="22"/>
        </w:rPr>
        <w:t>appropriate,</w:t>
      </w:r>
      <w:r w:rsidRPr="12F17E61">
        <w:rPr>
          <w:rFonts w:asciiTheme="minorHAnsi" w:hAnsiTheme="minorHAnsi" w:cstheme="minorBidi"/>
          <w:sz w:val="22"/>
          <w:szCs w:val="22"/>
        </w:rPr>
        <w:t xml:space="preserve"> a </w:t>
      </w:r>
      <w:r w:rsidRPr="085641B0">
        <w:rPr>
          <w:rFonts w:asciiTheme="minorHAnsi" w:hAnsiTheme="minorHAnsi" w:cstheme="minorBidi"/>
          <w:sz w:val="22"/>
          <w:szCs w:val="22"/>
        </w:rPr>
        <w:t>sustainable pricing model for</w:t>
      </w:r>
      <w:r w:rsidRPr="5995AA6F">
        <w:rPr>
          <w:rFonts w:asciiTheme="minorHAnsi" w:hAnsiTheme="minorHAnsi" w:cstheme="minorBidi"/>
          <w:sz w:val="22"/>
          <w:szCs w:val="22"/>
        </w:rPr>
        <w:t xml:space="preserve"> </w:t>
      </w:r>
      <w:r w:rsidRPr="20057856">
        <w:rPr>
          <w:rFonts w:asciiTheme="minorHAnsi" w:hAnsiTheme="minorHAnsi" w:cstheme="minorBidi"/>
          <w:sz w:val="22"/>
          <w:szCs w:val="22"/>
        </w:rPr>
        <w:t xml:space="preserve">open </w:t>
      </w:r>
      <w:r w:rsidRPr="43578E5D">
        <w:rPr>
          <w:rFonts w:asciiTheme="minorHAnsi" w:hAnsiTheme="minorHAnsi" w:cstheme="minorBidi"/>
          <w:sz w:val="22"/>
          <w:szCs w:val="22"/>
        </w:rPr>
        <w:t>banking payments</w:t>
      </w:r>
      <w:r w:rsidRPr="7CE7C076">
        <w:rPr>
          <w:rFonts w:asciiTheme="minorHAnsi" w:hAnsiTheme="minorHAnsi" w:cstheme="minorBidi"/>
          <w:sz w:val="22"/>
          <w:szCs w:val="22"/>
        </w:rPr>
        <w:t xml:space="preserve"> </w:t>
      </w:r>
      <w:r w:rsidRPr="724C83C5">
        <w:rPr>
          <w:rFonts w:asciiTheme="minorHAnsi" w:hAnsiTheme="minorHAnsi" w:cstheme="minorBidi"/>
          <w:sz w:val="22"/>
          <w:szCs w:val="22"/>
        </w:rPr>
        <w:t xml:space="preserve">that ensures </w:t>
      </w:r>
      <w:r w:rsidRPr="6445B864">
        <w:rPr>
          <w:rFonts w:asciiTheme="minorHAnsi" w:hAnsiTheme="minorHAnsi" w:cstheme="minorBidi"/>
          <w:sz w:val="22"/>
          <w:szCs w:val="22"/>
        </w:rPr>
        <w:t xml:space="preserve">firms can </w:t>
      </w:r>
      <w:r w:rsidRPr="55A02DE1">
        <w:rPr>
          <w:rFonts w:asciiTheme="minorHAnsi" w:hAnsiTheme="minorHAnsi" w:cstheme="minorBidi"/>
          <w:sz w:val="22"/>
          <w:szCs w:val="22"/>
        </w:rPr>
        <w:t xml:space="preserve">continue to </w:t>
      </w:r>
      <w:r w:rsidRPr="78F243E8">
        <w:rPr>
          <w:rFonts w:asciiTheme="minorHAnsi" w:hAnsiTheme="minorHAnsi" w:cstheme="minorBidi"/>
          <w:sz w:val="22"/>
          <w:szCs w:val="22"/>
        </w:rPr>
        <w:t xml:space="preserve">invest </w:t>
      </w:r>
      <w:r w:rsidRPr="5892403C">
        <w:rPr>
          <w:rFonts w:asciiTheme="minorHAnsi" w:hAnsiTheme="minorHAnsi" w:cstheme="minorBidi"/>
          <w:sz w:val="22"/>
          <w:szCs w:val="22"/>
        </w:rPr>
        <w:t>in new products and</w:t>
      </w:r>
      <w:r w:rsidRPr="34FB3346">
        <w:rPr>
          <w:rFonts w:asciiTheme="minorHAnsi" w:hAnsiTheme="minorHAnsi" w:cstheme="minorBidi"/>
          <w:sz w:val="22"/>
          <w:szCs w:val="22"/>
        </w:rPr>
        <w:t xml:space="preserve"> further </w:t>
      </w:r>
      <w:r w:rsidRPr="063A9C06">
        <w:rPr>
          <w:rFonts w:asciiTheme="minorHAnsi" w:hAnsiTheme="minorHAnsi" w:cstheme="minorBidi"/>
          <w:sz w:val="22"/>
          <w:szCs w:val="22"/>
        </w:rPr>
        <w:t xml:space="preserve">innovation that </w:t>
      </w:r>
      <w:r w:rsidRPr="42888252">
        <w:rPr>
          <w:rFonts w:asciiTheme="minorHAnsi" w:hAnsiTheme="minorHAnsi" w:cstheme="minorBidi"/>
          <w:sz w:val="22"/>
          <w:szCs w:val="22"/>
        </w:rPr>
        <w:t>benefits people and businesses</w:t>
      </w:r>
    </w:p>
    <w:p w14:paraId="4CC5ECEB" w14:textId="77777777" w:rsidR="00B61E88" w:rsidRDefault="00B61E88" w:rsidP="00B61E88">
      <w:pPr>
        <w:pStyle w:val="Default"/>
        <w:jc w:val="both"/>
        <w:rPr>
          <w:color w:val="auto"/>
          <w:sz w:val="23"/>
          <w:szCs w:val="23"/>
        </w:rPr>
      </w:pPr>
    </w:p>
    <w:p w14:paraId="601ECA83" w14:textId="77777777" w:rsidR="00B61E88" w:rsidRDefault="00B61E88" w:rsidP="00B61E88">
      <w:pPr>
        <w:pStyle w:val="JROCBodyText"/>
        <w:jc w:val="both"/>
        <w:rPr>
          <w:rFonts w:asciiTheme="minorHAnsi" w:hAnsiTheme="minorHAnsi" w:cstheme="minorHAnsi"/>
          <w:b/>
          <w:bCs/>
          <w:sz w:val="22"/>
          <w:szCs w:val="22"/>
        </w:rPr>
      </w:pPr>
    </w:p>
    <w:p w14:paraId="184BE6F3" w14:textId="77777777" w:rsidR="00B61E88" w:rsidRPr="006A37DB" w:rsidRDefault="0014449D" w:rsidP="00B61E88">
      <w:pPr>
        <w:pStyle w:val="JROCBodyText"/>
        <w:jc w:val="both"/>
        <w:rPr>
          <w:rFonts w:asciiTheme="minorHAnsi" w:hAnsiTheme="minorHAnsi" w:cstheme="minorHAnsi"/>
          <w:b/>
          <w:bCs/>
          <w:color w:val="006485"/>
          <w:sz w:val="22"/>
          <w:szCs w:val="22"/>
        </w:rPr>
      </w:pPr>
      <w:r w:rsidRPr="006A37DB">
        <w:rPr>
          <w:rFonts w:asciiTheme="minorHAnsi" w:hAnsiTheme="minorHAnsi" w:cstheme="minorHAnsi"/>
          <w:b/>
          <w:bCs/>
          <w:color w:val="006485" w:themeColor="accent1" w:themeShade="BF"/>
          <w:sz w:val="22"/>
          <w:szCs w:val="22"/>
        </w:rPr>
        <w:t>Questions for SWG</w:t>
      </w:r>
      <w:r>
        <w:rPr>
          <w:rFonts w:asciiTheme="minorHAnsi" w:hAnsiTheme="minorHAnsi" w:cstheme="minorHAnsi"/>
          <w:b/>
          <w:bCs/>
          <w:color w:val="006485" w:themeColor="accent1" w:themeShade="BF"/>
          <w:sz w:val="22"/>
          <w:szCs w:val="22"/>
        </w:rPr>
        <w:t xml:space="preserve"> under Priority 2</w:t>
      </w:r>
    </w:p>
    <w:p w14:paraId="32E7A636" w14:textId="77777777" w:rsidR="00B61E88" w:rsidRDefault="00B61E88" w:rsidP="00B61E88">
      <w:pPr>
        <w:pStyle w:val="JROCBodyText"/>
        <w:jc w:val="both"/>
        <w:rPr>
          <w:rFonts w:asciiTheme="minorHAnsi" w:hAnsiTheme="minorHAnsi" w:cstheme="minorHAnsi"/>
          <w:b/>
          <w:bCs/>
          <w:color w:val="006485"/>
          <w:sz w:val="22"/>
          <w:szCs w:val="22"/>
        </w:rPr>
      </w:pPr>
    </w:p>
    <w:p w14:paraId="7BE0265A" w14:textId="585792D2" w:rsidR="00B61E88" w:rsidRPr="00AF7E3A" w:rsidRDefault="0014449D" w:rsidP="62084865">
      <w:pPr>
        <w:pStyle w:val="JROCBodyText"/>
        <w:numPr>
          <w:ilvl w:val="0"/>
          <w:numId w:val="4"/>
        </w:numPr>
        <w:ind w:right="566"/>
        <w:jc w:val="both"/>
        <w:rPr>
          <w:rFonts w:asciiTheme="minorHAnsi" w:eastAsiaTheme="minorEastAsia" w:hAnsiTheme="minorHAnsi" w:cstheme="minorBidi"/>
          <w:szCs w:val="21"/>
        </w:rPr>
      </w:pPr>
      <w:r w:rsidRPr="62084865">
        <w:rPr>
          <w:rFonts w:asciiTheme="minorHAnsi" w:hAnsiTheme="minorHAnsi" w:cstheme="minorBidi"/>
          <w:sz w:val="22"/>
          <w:szCs w:val="22"/>
        </w:rPr>
        <w:t>What should the approach be to resolve issues and possible barriers around open banking payments, for example better supporting high value payments? Should a risk-based approach to open banking payments be considered</w:t>
      </w:r>
      <w:r w:rsidR="30BF997A" w:rsidRPr="62084865">
        <w:rPr>
          <w:rFonts w:asciiTheme="minorHAnsi" w:hAnsiTheme="minorHAnsi" w:cstheme="minorBidi"/>
          <w:sz w:val="22"/>
          <w:szCs w:val="22"/>
        </w:rPr>
        <w:t xml:space="preserve"> or not</w:t>
      </w:r>
      <w:r w:rsidRPr="62084865">
        <w:rPr>
          <w:rFonts w:asciiTheme="minorHAnsi" w:hAnsiTheme="minorHAnsi" w:cstheme="minorBidi"/>
          <w:sz w:val="22"/>
          <w:szCs w:val="22"/>
        </w:rPr>
        <w:t xml:space="preserve">? </w:t>
      </w:r>
      <w:r w:rsidR="6F400849" w:rsidRPr="62084865">
        <w:rPr>
          <w:rFonts w:asciiTheme="minorHAnsi" w:hAnsiTheme="minorHAnsi" w:cstheme="minorBidi"/>
          <w:sz w:val="22"/>
          <w:szCs w:val="22"/>
        </w:rPr>
        <w:t xml:space="preserve"> Please provide rationale and evidence.</w:t>
      </w:r>
      <w:r w:rsidR="002E6F61" w:rsidRPr="62084865">
        <w:rPr>
          <w:rFonts w:asciiTheme="minorHAnsi" w:hAnsiTheme="minorHAnsi" w:cstheme="minorBidi"/>
          <w:sz w:val="22"/>
          <w:szCs w:val="22"/>
        </w:rPr>
        <w:t xml:space="preserve"> </w:t>
      </w:r>
      <w:r w:rsidRPr="62084865">
        <w:rPr>
          <w:rFonts w:asciiTheme="minorHAnsi" w:hAnsiTheme="minorHAnsi" w:cstheme="minorBidi"/>
          <w:sz w:val="22"/>
          <w:szCs w:val="22"/>
        </w:rPr>
        <w:t>How can account providers and TPPs work together to manage the associated risks (if any)? Are there particular use-cases and/or scenarios in which additional or different models are required</w:t>
      </w:r>
      <w:r w:rsidR="48E1B6AF" w:rsidRPr="62084865">
        <w:rPr>
          <w:rFonts w:asciiTheme="minorHAnsi" w:hAnsiTheme="minorHAnsi" w:cstheme="minorBidi"/>
          <w:sz w:val="22"/>
          <w:szCs w:val="22"/>
        </w:rPr>
        <w:t xml:space="preserve"> or not</w:t>
      </w:r>
      <w:r w:rsidRPr="62084865">
        <w:rPr>
          <w:rFonts w:asciiTheme="minorHAnsi" w:hAnsiTheme="minorHAnsi" w:cstheme="minorBidi"/>
          <w:sz w:val="22"/>
          <w:szCs w:val="22"/>
        </w:rPr>
        <w:t xml:space="preserve">? </w:t>
      </w:r>
      <w:r w:rsidR="010DCA4C" w:rsidRPr="62084865">
        <w:rPr>
          <w:rFonts w:asciiTheme="minorHAnsi" w:hAnsiTheme="minorHAnsi" w:cstheme="minorBidi"/>
          <w:sz w:val="22"/>
          <w:szCs w:val="22"/>
        </w:rPr>
        <w:t xml:space="preserve"> Please provide rationale and evidence.</w:t>
      </w:r>
    </w:p>
    <w:p w14:paraId="612C4880" w14:textId="77777777" w:rsidR="00B61E88" w:rsidRPr="00B8358A" w:rsidRDefault="00B61E88" w:rsidP="00B61E88">
      <w:pPr>
        <w:pStyle w:val="JROCBodyText"/>
        <w:ind w:left="720" w:right="566"/>
        <w:jc w:val="both"/>
        <w:rPr>
          <w:rFonts w:asciiTheme="minorHAnsi" w:hAnsiTheme="minorHAnsi" w:cstheme="minorHAnsi"/>
          <w:sz w:val="22"/>
          <w:szCs w:val="22"/>
        </w:rPr>
      </w:pPr>
    </w:p>
    <w:p w14:paraId="7AE62F70" w14:textId="32A87442" w:rsidR="00B61E88" w:rsidRDefault="0014449D" w:rsidP="62084865">
      <w:pPr>
        <w:pStyle w:val="JROCBodyText"/>
        <w:numPr>
          <w:ilvl w:val="0"/>
          <w:numId w:val="4"/>
        </w:numPr>
        <w:ind w:right="566"/>
        <w:jc w:val="both"/>
        <w:rPr>
          <w:rFonts w:asciiTheme="minorHAnsi" w:eastAsiaTheme="minorEastAsia" w:hAnsiTheme="minorHAnsi" w:cstheme="minorBidi"/>
          <w:szCs w:val="21"/>
        </w:rPr>
      </w:pPr>
      <w:r w:rsidRPr="62084865">
        <w:rPr>
          <w:rFonts w:asciiTheme="minorHAnsi" w:hAnsiTheme="minorHAnsi" w:cstheme="minorBidi"/>
          <w:sz w:val="22"/>
          <w:szCs w:val="22"/>
        </w:rPr>
        <w:t>What is needed to promote the adoption of open banking account-to-account transactions, including recommendations and requirements from end-users and merchants?</w:t>
      </w:r>
      <w:r w:rsidR="002E6F61" w:rsidRPr="62084865">
        <w:rPr>
          <w:rFonts w:asciiTheme="minorHAnsi" w:hAnsiTheme="minorHAnsi" w:cstheme="minorBidi"/>
          <w:sz w:val="22"/>
          <w:szCs w:val="22"/>
        </w:rPr>
        <w:t xml:space="preserve"> </w:t>
      </w:r>
      <w:r w:rsidR="0DB680B2" w:rsidRPr="62084865">
        <w:rPr>
          <w:rFonts w:asciiTheme="minorHAnsi" w:hAnsiTheme="minorHAnsi" w:cstheme="minorBidi"/>
          <w:sz w:val="22"/>
          <w:szCs w:val="22"/>
        </w:rPr>
        <w:t>Please provide rationale and evidence.</w:t>
      </w:r>
    </w:p>
    <w:p w14:paraId="6BB6CCD4" w14:textId="77777777" w:rsidR="00B61E88" w:rsidRDefault="00B61E88" w:rsidP="00B61E88">
      <w:pPr>
        <w:pStyle w:val="ListParagraph"/>
        <w:rPr>
          <w:rFonts w:asciiTheme="minorHAnsi" w:hAnsiTheme="minorHAnsi" w:cstheme="minorBidi"/>
          <w:sz w:val="22"/>
          <w:szCs w:val="22"/>
        </w:rPr>
      </w:pPr>
    </w:p>
    <w:p w14:paraId="5EDCC5A5" w14:textId="0380C605" w:rsidR="00B61E88" w:rsidRDefault="0014449D" w:rsidP="62084865">
      <w:pPr>
        <w:pStyle w:val="JROCBodyText"/>
        <w:numPr>
          <w:ilvl w:val="0"/>
          <w:numId w:val="4"/>
        </w:numPr>
        <w:ind w:right="566"/>
        <w:jc w:val="both"/>
        <w:rPr>
          <w:rFonts w:asciiTheme="minorHAnsi" w:eastAsiaTheme="minorEastAsia" w:hAnsiTheme="minorHAnsi" w:cstheme="minorBidi"/>
          <w:color w:val="006485"/>
          <w:sz w:val="22"/>
          <w:szCs w:val="22"/>
        </w:rPr>
      </w:pPr>
      <w:r w:rsidRPr="62084865">
        <w:rPr>
          <w:rFonts w:asciiTheme="minorHAnsi" w:hAnsiTheme="minorHAnsi" w:cstheme="minorBidi"/>
          <w:sz w:val="22"/>
          <w:szCs w:val="22"/>
        </w:rPr>
        <w:t>What areas would multilateral agreements covering services beyond the Order and existing regulations need to cover in order to facilitate continued development of open banking payments in a safe and efficient manner?</w:t>
      </w:r>
      <w:r w:rsidR="002E6F61" w:rsidRPr="62084865">
        <w:rPr>
          <w:rFonts w:asciiTheme="minorHAnsi" w:hAnsiTheme="minorHAnsi" w:cstheme="minorBidi"/>
          <w:sz w:val="22"/>
          <w:szCs w:val="22"/>
        </w:rPr>
        <w:t xml:space="preserve"> </w:t>
      </w:r>
      <w:r w:rsidR="18D9D110" w:rsidRPr="62084865">
        <w:rPr>
          <w:rFonts w:asciiTheme="minorHAnsi" w:hAnsiTheme="minorHAnsi" w:cstheme="minorBidi"/>
          <w:sz w:val="22"/>
          <w:szCs w:val="22"/>
        </w:rPr>
        <w:t xml:space="preserve"> Please provide rationale and evidence.</w:t>
      </w:r>
      <w:r w:rsidRPr="62084865">
        <w:rPr>
          <w:rFonts w:asciiTheme="minorHAnsi" w:hAnsiTheme="minorHAnsi" w:cstheme="minorBidi"/>
          <w:sz w:val="22"/>
          <w:szCs w:val="22"/>
        </w:rPr>
        <w:t xml:space="preserve"> </w:t>
      </w:r>
      <w:r w:rsidRPr="62084865">
        <w:rPr>
          <w:rFonts w:asciiTheme="minorHAnsi" w:hAnsiTheme="minorHAnsi" w:cstheme="minorBidi"/>
          <w:color w:val="006485" w:themeColor="accent1" w:themeShade="BF"/>
          <w:sz w:val="22"/>
          <w:szCs w:val="22"/>
        </w:rPr>
        <w:t>[Link to Priority 1]</w:t>
      </w:r>
    </w:p>
    <w:p w14:paraId="569722AE" w14:textId="77777777" w:rsidR="00B61E88" w:rsidRDefault="00B61E88" w:rsidP="00B61E88">
      <w:pPr>
        <w:pStyle w:val="ListParagraph"/>
        <w:rPr>
          <w:rFonts w:asciiTheme="minorHAnsi" w:hAnsiTheme="minorHAnsi" w:cstheme="minorBidi"/>
          <w:color w:val="006485"/>
          <w:sz w:val="22"/>
          <w:szCs w:val="22"/>
        </w:rPr>
      </w:pPr>
    </w:p>
    <w:p w14:paraId="7F1A61F2" w14:textId="7E397093" w:rsidR="00B61E88" w:rsidRDefault="0014449D" w:rsidP="62084865">
      <w:pPr>
        <w:pStyle w:val="JROCBodyText"/>
        <w:numPr>
          <w:ilvl w:val="0"/>
          <w:numId w:val="4"/>
        </w:numPr>
        <w:ind w:right="566"/>
        <w:jc w:val="both"/>
        <w:rPr>
          <w:rFonts w:asciiTheme="minorHAnsi" w:eastAsiaTheme="minorEastAsia" w:hAnsiTheme="minorHAnsi" w:cstheme="minorBidi"/>
          <w:szCs w:val="21"/>
        </w:rPr>
      </w:pPr>
      <w:r w:rsidRPr="62084865">
        <w:rPr>
          <w:rFonts w:asciiTheme="minorHAnsi" w:hAnsiTheme="minorHAnsi" w:cstheme="minorBidi"/>
          <w:b/>
          <w:bCs/>
          <w:sz w:val="22"/>
          <w:szCs w:val="22"/>
        </w:rPr>
        <w:t>Functional capability</w:t>
      </w:r>
      <w:r w:rsidRPr="62084865">
        <w:rPr>
          <w:rFonts w:asciiTheme="minorHAnsi" w:hAnsiTheme="minorHAnsi" w:cstheme="minorBidi"/>
          <w:sz w:val="22"/>
          <w:szCs w:val="22"/>
        </w:rPr>
        <w:t>: what are the most appropriate use cases to consider, and what additional functional capabilities and considerations (e.g., risk management) would be needed to support them?</w:t>
      </w:r>
      <w:r w:rsidR="002E6F61" w:rsidRPr="62084865">
        <w:rPr>
          <w:rFonts w:asciiTheme="minorHAnsi" w:hAnsiTheme="minorHAnsi" w:cstheme="minorBidi"/>
          <w:sz w:val="22"/>
          <w:szCs w:val="22"/>
        </w:rPr>
        <w:t xml:space="preserve"> </w:t>
      </w:r>
      <w:r w:rsidR="39F95568" w:rsidRPr="62084865">
        <w:rPr>
          <w:rFonts w:asciiTheme="minorHAnsi" w:hAnsiTheme="minorHAnsi" w:cstheme="minorBidi"/>
          <w:sz w:val="22"/>
          <w:szCs w:val="22"/>
        </w:rPr>
        <w:t xml:space="preserve"> Please provide rationale and evidence.</w:t>
      </w:r>
    </w:p>
    <w:p w14:paraId="322C80F8" w14:textId="77777777" w:rsidR="00B61E88" w:rsidRDefault="00B61E88" w:rsidP="00B61E88">
      <w:pPr>
        <w:pStyle w:val="ListParagraph"/>
        <w:jc w:val="both"/>
        <w:rPr>
          <w:rFonts w:asciiTheme="minorHAnsi" w:hAnsiTheme="minorHAnsi" w:cstheme="minorHAnsi"/>
          <w:sz w:val="22"/>
          <w:szCs w:val="22"/>
        </w:rPr>
      </w:pPr>
    </w:p>
    <w:p w14:paraId="705C6DE7" w14:textId="7CA0B188" w:rsidR="00B61E88" w:rsidRPr="00B8358A" w:rsidRDefault="0014449D" w:rsidP="62084865">
      <w:pPr>
        <w:pStyle w:val="JROCBodyText"/>
        <w:numPr>
          <w:ilvl w:val="0"/>
          <w:numId w:val="4"/>
        </w:numPr>
        <w:ind w:right="566"/>
        <w:jc w:val="both"/>
        <w:rPr>
          <w:rFonts w:asciiTheme="minorHAnsi" w:eastAsiaTheme="minorEastAsia" w:hAnsiTheme="minorHAnsi" w:cstheme="minorBidi"/>
          <w:color w:val="006485"/>
          <w:sz w:val="22"/>
          <w:szCs w:val="22"/>
        </w:rPr>
      </w:pPr>
      <w:r w:rsidRPr="62084865">
        <w:rPr>
          <w:rFonts w:asciiTheme="minorHAnsi" w:hAnsiTheme="minorHAnsi" w:cstheme="minorBidi"/>
          <w:b/>
          <w:bCs/>
          <w:sz w:val="22"/>
          <w:szCs w:val="22"/>
        </w:rPr>
        <w:t>Dispute process</w:t>
      </w:r>
      <w:r w:rsidRPr="62084865">
        <w:rPr>
          <w:rFonts w:asciiTheme="minorHAnsi" w:hAnsiTheme="minorHAnsi" w:cstheme="minorBidi"/>
          <w:sz w:val="22"/>
          <w:szCs w:val="22"/>
        </w:rPr>
        <w:t>: how should payment disputes be managed, and what does this imply for consumer protection and redress?</w:t>
      </w:r>
      <w:r w:rsidR="002E6F61" w:rsidRPr="62084865">
        <w:rPr>
          <w:rFonts w:asciiTheme="minorHAnsi" w:hAnsiTheme="minorHAnsi" w:cstheme="minorBidi"/>
          <w:sz w:val="22"/>
          <w:szCs w:val="22"/>
        </w:rPr>
        <w:t xml:space="preserve"> </w:t>
      </w:r>
      <w:r w:rsidR="7E6E63AA" w:rsidRPr="62084865">
        <w:rPr>
          <w:rFonts w:asciiTheme="minorHAnsi" w:hAnsiTheme="minorHAnsi" w:cstheme="minorBidi"/>
          <w:sz w:val="22"/>
          <w:szCs w:val="22"/>
        </w:rPr>
        <w:t xml:space="preserve"> Please provide rationale and evidence.</w:t>
      </w:r>
      <w:r w:rsidRPr="62084865">
        <w:rPr>
          <w:rFonts w:asciiTheme="minorHAnsi" w:hAnsiTheme="minorHAnsi" w:cstheme="minorBidi"/>
          <w:sz w:val="22"/>
          <w:szCs w:val="22"/>
        </w:rPr>
        <w:t xml:space="preserve"> </w:t>
      </w:r>
      <w:r w:rsidRPr="62084865">
        <w:rPr>
          <w:rFonts w:asciiTheme="minorHAnsi" w:hAnsiTheme="minorHAnsi" w:cstheme="minorBidi"/>
          <w:color w:val="006485" w:themeColor="accent1" w:themeShade="BF"/>
          <w:sz w:val="22"/>
          <w:szCs w:val="22"/>
        </w:rPr>
        <w:t xml:space="preserve">[Link to Priority 1] </w:t>
      </w:r>
    </w:p>
    <w:p w14:paraId="24F11F85" w14:textId="77777777" w:rsidR="00B61E88" w:rsidRPr="00B8358A" w:rsidRDefault="00B61E88" w:rsidP="00B61E88">
      <w:pPr>
        <w:pStyle w:val="JROCBodyText"/>
        <w:ind w:left="720" w:right="566"/>
        <w:jc w:val="both"/>
        <w:rPr>
          <w:rFonts w:asciiTheme="minorHAnsi" w:hAnsiTheme="minorHAnsi" w:cstheme="minorHAnsi"/>
          <w:color w:val="006485"/>
          <w:sz w:val="22"/>
          <w:szCs w:val="22"/>
        </w:rPr>
      </w:pPr>
    </w:p>
    <w:p w14:paraId="5152FAAC" w14:textId="3BC7B19B" w:rsidR="00B61E88" w:rsidRPr="00B8358A" w:rsidRDefault="0014449D" w:rsidP="62084865">
      <w:pPr>
        <w:pStyle w:val="JROCBodyText"/>
        <w:numPr>
          <w:ilvl w:val="0"/>
          <w:numId w:val="4"/>
        </w:numPr>
        <w:ind w:right="566"/>
        <w:jc w:val="both"/>
        <w:rPr>
          <w:rFonts w:asciiTheme="minorHAnsi" w:eastAsiaTheme="minorEastAsia" w:hAnsiTheme="minorHAnsi" w:cstheme="minorBidi"/>
          <w:color w:val="006485"/>
          <w:sz w:val="22"/>
          <w:szCs w:val="22"/>
        </w:rPr>
      </w:pPr>
      <w:r w:rsidRPr="62084865">
        <w:rPr>
          <w:rFonts w:asciiTheme="minorHAnsi" w:hAnsiTheme="minorHAnsi" w:cstheme="minorBidi"/>
          <w:b/>
          <w:bCs/>
          <w:sz w:val="22"/>
          <w:szCs w:val="22"/>
        </w:rPr>
        <w:t>Access &amp; reliability</w:t>
      </w:r>
      <w:r w:rsidRPr="62084865">
        <w:rPr>
          <w:rFonts w:asciiTheme="minorHAnsi" w:hAnsiTheme="minorHAnsi" w:cstheme="minorBidi"/>
          <w:sz w:val="22"/>
          <w:szCs w:val="22"/>
        </w:rPr>
        <w:t>: are greater levels of access and reliability needed to ensure success</w:t>
      </w:r>
      <w:r w:rsidR="15DAAEAF" w:rsidRPr="62084865">
        <w:rPr>
          <w:rFonts w:asciiTheme="minorHAnsi" w:hAnsiTheme="minorHAnsi" w:cstheme="minorBidi"/>
          <w:sz w:val="22"/>
          <w:szCs w:val="22"/>
        </w:rPr>
        <w:t xml:space="preserve"> or not</w:t>
      </w:r>
      <w:r w:rsidRPr="62084865">
        <w:rPr>
          <w:rFonts w:asciiTheme="minorHAnsi" w:hAnsiTheme="minorHAnsi" w:cstheme="minorBidi"/>
          <w:sz w:val="22"/>
          <w:szCs w:val="22"/>
        </w:rPr>
        <w:t>?</w:t>
      </w:r>
      <w:r w:rsidR="002E6F61" w:rsidRPr="62084865">
        <w:rPr>
          <w:rFonts w:asciiTheme="minorHAnsi" w:hAnsiTheme="minorHAnsi" w:cstheme="minorBidi"/>
          <w:sz w:val="22"/>
          <w:szCs w:val="22"/>
        </w:rPr>
        <w:t xml:space="preserve"> </w:t>
      </w:r>
      <w:r w:rsidR="7B6F4149" w:rsidRPr="62084865">
        <w:rPr>
          <w:rFonts w:asciiTheme="minorHAnsi" w:hAnsiTheme="minorHAnsi" w:cstheme="minorBidi"/>
          <w:sz w:val="22"/>
          <w:szCs w:val="22"/>
        </w:rPr>
        <w:t xml:space="preserve"> Please provide rationale and evidence.</w:t>
      </w:r>
      <w:r w:rsidRPr="62084865">
        <w:rPr>
          <w:rFonts w:asciiTheme="minorHAnsi" w:hAnsiTheme="minorHAnsi" w:cstheme="minorBidi"/>
          <w:sz w:val="22"/>
          <w:szCs w:val="22"/>
        </w:rPr>
        <w:t xml:space="preserve"> What needs to be done in order to give customers and retailers sufficient confidence that payment journeys are efficient, and payments are certain? </w:t>
      </w:r>
      <w:r w:rsidRPr="62084865">
        <w:rPr>
          <w:rFonts w:asciiTheme="minorHAnsi" w:hAnsiTheme="minorHAnsi" w:cstheme="minorBidi"/>
          <w:color w:val="006485" w:themeColor="accent1" w:themeShade="BF"/>
          <w:sz w:val="22"/>
          <w:szCs w:val="22"/>
        </w:rPr>
        <w:t>[Link to Priority 1]</w:t>
      </w:r>
    </w:p>
    <w:p w14:paraId="77676BA7" w14:textId="77777777" w:rsidR="00B61E88" w:rsidRPr="00B8358A" w:rsidRDefault="00B61E88" w:rsidP="00B61E88">
      <w:pPr>
        <w:pStyle w:val="JROCBodyText"/>
        <w:ind w:right="566"/>
        <w:jc w:val="both"/>
        <w:rPr>
          <w:rFonts w:asciiTheme="minorHAnsi" w:hAnsiTheme="minorHAnsi" w:cstheme="minorHAnsi"/>
          <w:color w:val="006485"/>
          <w:sz w:val="22"/>
          <w:szCs w:val="22"/>
        </w:rPr>
      </w:pPr>
    </w:p>
    <w:p w14:paraId="5599D755" w14:textId="77777777" w:rsidR="00B61E88" w:rsidRPr="00B8358A" w:rsidRDefault="0014449D" w:rsidP="00B61E88">
      <w:pPr>
        <w:pStyle w:val="JROCBodyText"/>
        <w:numPr>
          <w:ilvl w:val="0"/>
          <w:numId w:val="4"/>
        </w:numPr>
        <w:ind w:right="566"/>
        <w:jc w:val="both"/>
        <w:rPr>
          <w:rFonts w:asciiTheme="minorHAnsi" w:hAnsiTheme="minorHAnsi" w:cstheme="minorBidi"/>
          <w:sz w:val="22"/>
          <w:szCs w:val="22"/>
        </w:rPr>
      </w:pPr>
      <w:r w:rsidRPr="19E1BCB0">
        <w:rPr>
          <w:rFonts w:asciiTheme="minorHAnsi" w:hAnsiTheme="minorHAnsi" w:cstheme="minorBidi"/>
          <w:b/>
          <w:bCs/>
          <w:sz w:val="22"/>
          <w:szCs w:val="22"/>
        </w:rPr>
        <w:t>Competitive pricing</w:t>
      </w:r>
      <w:r w:rsidRPr="19E1BCB0">
        <w:rPr>
          <w:rFonts w:asciiTheme="minorHAnsi" w:hAnsiTheme="minorHAnsi" w:cstheme="minorBidi"/>
          <w:sz w:val="22"/>
          <w:szCs w:val="22"/>
        </w:rPr>
        <w:t>: in terms of commercial models for the use cases, what are the challenges with current charging models, and how can competitive pricing be achieved in a fair manner that incentivise actors to take part?</w:t>
      </w:r>
    </w:p>
    <w:p w14:paraId="09E6C6DA" w14:textId="77777777" w:rsidR="00B61E88" w:rsidRDefault="00B61E88" w:rsidP="00B61E88">
      <w:pPr>
        <w:pStyle w:val="Default"/>
        <w:jc w:val="both"/>
        <w:rPr>
          <w:color w:val="auto"/>
          <w:sz w:val="23"/>
          <w:szCs w:val="23"/>
        </w:rPr>
      </w:pPr>
    </w:p>
    <w:p w14:paraId="75674D0B" w14:textId="77777777" w:rsidR="00B61E88" w:rsidRDefault="0014449D">
      <w:pPr>
        <w:spacing w:after="160" w:line="259" w:lineRule="auto"/>
        <w:rPr>
          <w:rFonts w:asciiTheme="minorHAnsi" w:hAnsiTheme="minorHAnsi" w:cstheme="minorHAnsi"/>
          <w:b/>
          <w:bCs/>
          <w:color w:val="006485"/>
          <w:sz w:val="22"/>
          <w:szCs w:val="22"/>
        </w:rPr>
      </w:pPr>
      <w:r>
        <w:rPr>
          <w:rFonts w:asciiTheme="minorHAnsi" w:hAnsiTheme="minorHAnsi" w:cstheme="minorHAnsi"/>
          <w:b/>
          <w:bCs/>
          <w:color w:val="006485" w:themeColor="accent1" w:themeShade="BF"/>
          <w:sz w:val="22"/>
          <w:szCs w:val="22"/>
        </w:rPr>
        <w:br w:type="page"/>
      </w:r>
    </w:p>
    <w:p w14:paraId="17039383" w14:textId="77777777" w:rsidR="00B61E88" w:rsidRDefault="0014449D" w:rsidP="00B61E88">
      <w:pPr>
        <w:pStyle w:val="JROCBodyText"/>
        <w:jc w:val="both"/>
        <w:rPr>
          <w:rFonts w:asciiTheme="minorHAnsi" w:hAnsiTheme="minorHAnsi" w:cstheme="minorHAnsi"/>
          <w:b/>
          <w:bCs/>
          <w:color w:val="006485"/>
          <w:sz w:val="22"/>
          <w:szCs w:val="22"/>
        </w:rPr>
      </w:pPr>
      <w:r w:rsidRPr="006A37DB">
        <w:rPr>
          <w:rFonts w:asciiTheme="minorHAnsi" w:hAnsiTheme="minorHAnsi" w:cstheme="minorHAnsi"/>
          <w:b/>
          <w:bCs/>
          <w:color w:val="006485" w:themeColor="accent1" w:themeShade="BF"/>
          <w:sz w:val="22"/>
          <w:szCs w:val="22"/>
        </w:rPr>
        <w:lastRenderedPageBreak/>
        <w:t xml:space="preserve">Key Priority </w:t>
      </w:r>
      <w:r>
        <w:rPr>
          <w:rFonts w:asciiTheme="minorHAnsi" w:hAnsiTheme="minorHAnsi" w:cstheme="minorHAnsi"/>
          <w:b/>
          <w:bCs/>
          <w:color w:val="006485" w:themeColor="accent1" w:themeShade="BF"/>
          <w:sz w:val="22"/>
          <w:szCs w:val="22"/>
        </w:rPr>
        <w:t>3</w:t>
      </w:r>
      <w:r w:rsidRPr="006A37DB">
        <w:rPr>
          <w:rFonts w:asciiTheme="minorHAnsi" w:hAnsiTheme="minorHAnsi" w:cstheme="minorHAnsi"/>
          <w:b/>
          <w:bCs/>
          <w:color w:val="006485" w:themeColor="accent1" w:themeShade="BF"/>
          <w:sz w:val="22"/>
          <w:szCs w:val="22"/>
        </w:rPr>
        <w:t xml:space="preserve">: </w:t>
      </w:r>
      <w:r w:rsidRPr="00C922A9">
        <w:rPr>
          <w:rFonts w:asciiTheme="minorHAnsi" w:hAnsiTheme="minorHAnsi" w:cstheme="minorHAnsi"/>
          <w:b/>
          <w:bCs/>
          <w:color w:val="006485" w:themeColor="accent1" w:themeShade="BF"/>
          <w:sz w:val="22"/>
          <w:szCs w:val="22"/>
        </w:rPr>
        <w:t>Promoting further data sharing propositions</w:t>
      </w:r>
    </w:p>
    <w:p w14:paraId="7F3ECD72" w14:textId="77777777" w:rsidR="00B61E88" w:rsidRDefault="00B61E88" w:rsidP="00B61E88">
      <w:pPr>
        <w:pStyle w:val="JROCBodyText"/>
        <w:jc w:val="both"/>
        <w:rPr>
          <w:rFonts w:asciiTheme="minorHAnsi" w:hAnsiTheme="minorHAnsi" w:cstheme="minorHAnsi"/>
          <w:b/>
          <w:bCs/>
          <w:color w:val="006485"/>
          <w:sz w:val="22"/>
          <w:szCs w:val="22"/>
        </w:rPr>
      </w:pPr>
    </w:p>
    <w:p w14:paraId="275C8BD9" w14:textId="77777777" w:rsidR="00B61E88" w:rsidRPr="00C922A9" w:rsidRDefault="0014449D" w:rsidP="00B61E88">
      <w:pPr>
        <w:pStyle w:val="JROCBodyText"/>
        <w:numPr>
          <w:ilvl w:val="0"/>
          <w:numId w:val="4"/>
        </w:numPr>
        <w:ind w:right="566"/>
        <w:jc w:val="both"/>
        <w:rPr>
          <w:rFonts w:asciiTheme="minorHAnsi" w:hAnsiTheme="minorHAnsi" w:cstheme="minorHAnsi"/>
          <w:sz w:val="22"/>
          <w:szCs w:val="22"/>
        </w:rPr>
      </w:pPr>
      <w:r w:rsidRPr="00C922A9">
        <w:rPr>
          <w:rFonts w:asciiTheme="minorHAnsi" w:hAnsiTheme="minorHAnsi" w:cstheme="minorHAnsi"/>
          <w:b/>
          <w:bCs/>
          <w:sz w:val="22"/>
          <w:szCs w:val="22"/>
        </w:rPr>
        <w:t>Information sharing</w:t>
      </w:r>
      <w:r w:rsidRPr="00C922A9">
        <w:rPr>
          <w:rFonts w:asciiTheme="minorHAnsi" w:hAnsiTheme="minorHAnsi" w:cstheme="minorHAnsi"/>
          <w:sz w:val="22"/>
          <w:szCs w:val="22"/>
        </w:rPr>
        <w:t xml:space="preserve"> to enable early detection and better targeted intervention of fraud cases</w:t>
      </w:r>
    </w:p>
    <w:p w14:paraId="246DBA02" w14:textId="77777777" w:rsidR="00B61E88" w:rsidRPr="00C922A9" w:rsidRDefault="0014449D" w:rsidP="00B61E88">
      <w:pPr>
        <w:pStyle w:val="JROCBodyText"/>
        <w:numPr>
          <w:ilvl w:val="0"/>
          <w:numId w:val="4"/>
        </w:numPr>
        <w:ind w:right="566"/>
        <w:jc w:val="both"/>
        <w:rPr>
          <w:rFonts w:asciiTheme="minorHAnsi" w:hAnsiTheme="minorHAnsi" w:cstheme="minorHAnsi"/>
          <w:sz w:val="22"/>
          <w:szCs w:val="22"/>
        </w:rPr>
      </w:pPr>
      <w:r w:rsidRPr="00C922A9">
        <w:rPr>
          <w:rFonts w:asciiTheme="minorHAnsi" w:hAnsiTheme="minorHAnsi" w:cstheme="minorHAnsi"/>
          <w:b/>
          <w:bCs/>
          <w:sz w:val="22"/>
          <w:szCs w:val="22"/>
        </w:rPr>
        <w:t>Open banking x digital identity</w:t>
      </w:r>
      <w:r w:rsidRPr="00C922A9">
        <w:rPr>
          <w:rFonts w:asciiTheme="minorHAnsi" w:hAnsiTheme="minorHAnsi" w:cstheme="minorHAnsi"/>
          <w:sz w:val="22"/>
          <w:szCs w:val="22"/>
        </w:rPr>
        <w:t xml:space="preserve"> (i.e., use cases for identity and attributes verification, removing friction at onboarding)</w:t>
      </w:r>
    </w:p>
    <w:p w14:paraId="20859EB8" w14:textId="77777777" w:rsidR="00B61E88" w:rsidRPr="00C922A9" w:rsidRDefault="0014449D" w:rsidP="00B61E88">
      <w:pPr>
        <w:pStyle w:val="JROCBodyText"/>
        <w:numPr>
          <w:ilvl w:val="0"/>
          <w:numId w:val="4"/>
        </w:numPr>
        <w:ind w:right="566"/>
        <w:jc w:val="both"/>
        <w:rPr>
          <w:rFonts w:asciiTheme="minorHAnsi" w:hAnsiTheme="minorHAnsi" w:cstheme="minorHAnsi"/>
          <w:sz w:val="22"/>
          <w:szCs w:val="22"/>
        </w:rPr>
      </w:pPr>
      <w:r w:rsidRPr="00C922A9">
        <w:rPr>
          <w:rFonts w:asciiTheme="minorHAnsi" w:hAnsiTheme="minorHAnsi" w:cstheme="minorHAnsi"/>
          <w:sz w:val="22"/>
          <w:szCs w:val="22"/>
        </w:rPr>
        <w:t xml:space="preserve">Open banking for </w:t>
      </w:r>
      <w:r w:rsidRPr="00C922A9">
        <w:rPr>
          <w:rFonts w:asciiTheme="minorHAnsi" w:hAnsiTheme="minorHAnsi" w:cstheme="minorHAnsi"/>
          <w:b/>
          <w:bCs/>
          <w:sz w:val="22"/>
          <w:szCs w:val="22"/>
        </w:rPr>
        <w:t>consumers in vulnerable circumstances and ESG</w:t>
      </w:r>
    </w:p>
    <w:p w14:paraId="4126B0F7" w14:textId="77777777" w:rsidR="00B61E88" w:rsidRDefault="0014449D" w:rsidP="00B61E88">
      <w:pPr>
        <w:pStyle w:val="JROCBodyText"/>
        <w:numPr>
          <w:ilvl w:val="0"/>
          <w:numId w:val="4"/>
        </w:numPr>
        <w:ind w:right="566"/>
        <w:jc w:val="both"/>
        <w:rPr>
          <w:rFonts w:asciiTheme="minorHAnsi" w:hAnsiTheme="minorHAnsi" w:cstheme="minorHAnsi"/>
          <w:sz w:val="22"/>
          <w:szCs w:val="22"/>
        </w:rPr>
      </w:pPr>
      <w:r w:rsidRPr="00C922A9">
        <w:rPr>
          <w:rFonts w:asciiTheme="minorHAnsi" w:hAnsiTheme="minorHAnsi" w:cstheme="minorHAnsi"/>
          <w:b/>
          <w:bCs/>
          <w:sz w:val="22"/>
          <w:szCs w:val="22"/>
        </w:rPr>
        <w:t>Interoperability with open finance</w:t>
      </w:r>
      <w:r w:rsidRPr="00C922A9">
        <w:rPr>
          <w:rFonts w:asciiTheme="minorHAnsi" w:hAnsiTheme="minorHAnsi" w:cstheme="minorHAnsi"/>
          <w:sz w:val="22"/>
          <w:szCs w:val="22"/>
        </w:rPr>
        <w:t xml:space="preserve"> –</w:t>
      </w:r>
      <w:r>
        <w:rPr>
          <w:rFonts w:asciiTheme="minorHAnsi" w:hAnsiTheme="minorHAnsi" w:cstheme="minorHAnsi"/>
          <w:sz w:val="22"/>
          <w:szCs w:val="22"/>
        </w:rPr>
        <w:t xml:space="preserve"> extension to </w:t>
      </w:r>
      <w:r w:rsidRPr="00C922A9">
        <w:rPr>
          <w:rFonts w:asciiTheme="minorHAnsi" w:hAnsiTheme="minorHAnsi" w:cstheme="minorHAnsi"/>
          <w:sz w:val="22"/>
          <w:szCs w:val="22"/>
        </w:rPr>
        <w:t>savings account</w:t>
      </w:r>
      <w:r>
        <w:rPr>
          <w:rFonts w:asciiTheme="minorHAnsi" w:hAnsiTheme="minorHAnsi" w:cstheme="minorHAnsi"/>
          <w:sz w:val="22"/>
          <w:szCs w:val="22"/>
        </w:rPr>
        <w:t xml:space="preserve"> under open banking plus?</w:t>
      </w:r>
    </w:p>
    <w:p w14:paraId="045FCF72" w14:textId="77777777" w:rsidR="00B61E88" w:rsidRDefault="00B61E88" w:rsidP="00B61E88">
      <w:pPr>
        <w:pStyle w:val="JROCBodyText"/>
        <w:ind w:right="566"/>
        <w:jc w:val="both"/>
        <w:rPr>
          <w:rFonts w:asciiTheme="minorHAnsi" w:hAnsiTheme="minorHAnsi" w:cstheme="minorHAnsi"/>
          <w:sz w:val="22"/>
          <w:szCs w:val="22"/>
        </w:rPr>
      </w:pPr>
    </w:p>
    <w:p w14:paraId="6AA6087A" w14:textId="77777777" w:rsidR="00B61E88" w:rsidRPr="00C922A9" w:rsidRDefault="00B61E88" w:rsidP="00B61E88">
      <w:pPr>
        <w:pStyle w:val="JROCBodyText"/>
        <w:ind w:right="566"/>
        <w:jc w:val="both"/>
        <w:rPr>
          <w:rFonts w:asciiTheme="minorHAnsi" w:hAnsiTheme="minorHAnsi" w:cstheme="minorHAnsi"/>
          <w:sz w:val="22"/>
          <w:szCs w:val="22"/>
        </w:rPr>
      </w:pPr>
    </w:p>
    <w:p w14:paraId="7EA015C5" w14:textId="77777777" w:rsidR="00B61E88" w:rsidRPr="006A37DB" w:rsidRDefault="0014449D" w:rsidP="00B61E88">
      <w:pPr>
        <w:pStyle w:val="JROCBodyText"/>
        <w:jc w:val="both"/>
        <w:rPr>
          <w:rFonts w:asciiTheme="minorHAnsi" w:hAnsiTheme="minorHAnsi" w:cstheme="minorHAnsi"/>
          <w:b/>
          <w:bCs/>
          <w:color w:val="006485"/>
          <w:sz w:val="22"/>
          <w:szCs w:val="22"/>
        </w:rPr>
      </w:pPr>
      <w:r w:rsidRPr="006A37DB">
        <w:rPr>
          <w:rFonts w:asciiTheme="minorHAnsi" w:hAnsiTheme="minorHAnsi" w:cstheme="minorHAnsi"/>
          <w:b/>
          <w:bCs/>
          <w:color w:val="006485" w:themeColor="accent1" w:themeShade="BF"/>
          <w:sz w:val="22"/>
          <w:szCs w:val="22"/>
        </w:rPr>
        <w:t>Questions for SWG</w:t>
      </w:r>
      <w:r>
        <w:rPr>
          <w:rFonts w:asciiTheme="minorHAnsi" w:hAnsiTheme="minorHAnsi" w:cstheme="minorHAnsi"/>
          <w:b/>
          <w:bCs/>
          <w:color w:val="006485" w:themeColor="accent1" w:themeShade="BF"/>
          <w:sz w:val="22"/>
          <w:szCs w:val="22"/>
        </w:rPr>
        <w:t xml:space="preserve"> under Priority 3</w:t>
      </w:r>
    </w:p>
    <w:p w14:paraId="5E702485" w14:textId="77777777" w:rsidR="00B61E88" w:rsidRDefault="00B61E88" w:rsidP="00B61E88">
      <w:pPr>
        <w:pStyle w:val="Default"/>
        <w:jc w:val="both"/>
        <w:rPr>
          <w:color w:val="006485"/>
        </w:rPr>
      </w:pPr>
    </w:p>
    <w:p w14:paraId="0F35E932" w14:textId="76F5633E" w:rsidR="00B61E88" w:rsidRDefault="0014449D" w:rsidP="62084865">
      <w:pPr>
        <w:pStyle w:val="JROCBodyText"/>
        <w:numPr>
          <w:ilvl w:val="0"/>
          <w:numId w:val="4"/>
        </w:numPr>
        <w:ind w:right="566"/>
        <w:jc w:val="both"/>
        <w:rPr>
          <w:rFonts w:asciiTheme="minorHAnsi" w:eastAsiaTheme="minorEastAsia" w:hAnsiTheme="minorHAnsi" w:cstheme="minorBidi"/>
          <w:szCs w:val="21"/>
        </w:rPr>
      </w:pPr>
      <w:r w:rsidRPr="62084865">
        <w:rPr>
          <w:rFonts w:asciiTheme="minorHAnsi" w:hAnsiTheme="minorHAnsi" w:cstheme="minorBidi"/>
          <w:sz w:val="22"/>
          <w:szCs w:val="22"/>
        </w:rPr>
        <w:t xml:space="preserve">What additional data could be shared between entities to better protect customers from fraud, in particular APP fraud, for account-to-account payments (beyond the realm of open banking payments)? </w:t>
      </w:r>
      <w:r w:rsidR="0CE6ECDB" w:rsidRPr="62084865">
        <w:rPr>
          <w:rFonts w:asciiTheme="minorHAnsi" w:hAnsiTheme="minorHAnsi" w:cstheme="minorBidi"/>
          <w:sz w:val="22"/>
          <w:szCs w:val="22"/>
        </w:rPr>
        <w:t xml:space="preserve"> Please provide rationale and evidence.</w:t>
      </w:r>
    </w:p>
    <w:p w14:paraId="223FE5B4" w14:textId="77777777" w:rsidR="00B61E88" w:rsidRPr="00B25E93" w:rsidRDefault="00B61E88" w:rsidP="00B61E88">
      <w:pPr>
        <w:pStyle w:val="JROCBodyText"/>
        <w:ind w:left="720" w:right="566"/>
        <w:jc w:val="both"/>
        <w:rPr>
          <w:rFonts w:asciiTheme="minorHAnsi" w:hAnsiTheme="minorHAnsi" w:cstheme="minorHAnsi"/>
          <w:sz w:val="22"/>
          <w:szCs w:val="22"/>
        </w:rPr>
      </w:pPr>
    </w:p>
    <w:p w14:paraId="085BE942" w14:textId="3EED3CDB" w:rsidR="00B61E88" w:rsidRPr="00B25E93" w:rsidRDefault="0014449D" w:rsidP="62084865">
      <w:pPr>
        <w:pStyle w:val="JROCBodyText"/>
        <w:numPr>
          <w:ilvl w:val="0"/>
          <w:numId w:val="4"/>
        </w:numPr>
        <w:ind w:right="566"/>
        <w:jc w:val="both"/>
        <w:rPr>
          <w:rFonts w:asciiTheme="minorHAnsi" w:eastAsiaTheme="minorEastAsia" w:hAnsiTheme="minorHAnsi" w:cstheme="minorBidi"/>
          <w:sz w:val="22"/>
          <w:szCs w:val="22"/>
        </w:rPr>
      </w:pPr>
      <w:r w:rsidRPr="62084865">
        <w:rPr>
          <w:rFonts w:asciiTheme="minorHAnsi" w:hAnsiTheme="minorHAnsi" w:cstheme="minorBidi"/>
          <w:sz w:val="22"/>
          <w:szCs w:val="22"/>
        </w:rPr>
        <w:t>Should the ecosystem consider the use of risk indicators and software statement</w:t>
      </w:r>
      <w:r w:rsidR="51BBB6DD" w:rsidRPr="62084865">
        <w:rPr>
          <w:rFonts w:asciiTheme="minorHAnsi" w:hAnsiTheme="minorHAnsi" w:cstheme="minorBidi"/>
          <w:sz w:val="22"/>
          <w:szCs w:val="22"/>
        </w:rPr>
        <w:t xml:space="preserve"> or not</w:t>
      </w:r>
      <w:r w:rsidRPr="62084865">
        <w:rPr>
          <w:rFonts w:asciiTheme="minorHAnsi" w:hAnsiTheme="minorHAnsi" w:cstheme="minorBidi"/>
          <w:sz w:val="22"/>
          <w:szCs w:val="22"/>
        </w:rPr>
        <w:t xml:space="preserve">? </w:t>
      </w:r>
      <w:r w:rsidR="56EA67C8" w:rsidRPr="62084865">
        <w:rPr>
          <w:rFonts w:asciiTheme="minorHAnsi" w:hAnsiTheme="minorHAnsi" w:cstheme="minorBidi"/>
          <w:sz w:val="22"/>
          <w:szCs w:val="22"/>
        </w:rPr>
        <w:t xml:space="preserve"> Please provide rationale and evidence.</w:t>
      </w:r>
      <w:r w:rsidR="002E6F61" w:rsidRPr="62084865">
        <w:rPr>
          <w:rFonts w:asciiTheme="minorHAnsi" w:hAnsiTheme="minorHAnsi" w:cstheme="minorBidi"/>
          <w:sz w:val="22"/>
          <w:szCs w:val="22"/>
        </w:rPr>
        <w:t xml:space="preserve"> </w:t>
      </w:r>
      <w:r w:rsidRPr="62084865">
        <w:rPr>
          <w:rFonts w:asciiTheme="minorHAnsi" w:hAnsiTheme="minorHAnsi" w:cstheme="minorBidi"/>
          <w:sz w:val="22"/>
          <w:szCs w:val="22"/>
        </w:rPr>
        <w:t>How would that affect any friction in customer journey?</w:t>
      </w:r>
    </w:p>
    <w:p w14:paraId="49104BAA" w14:textId="77777777" w:rsidR="00B61E88" w:rsidRPr="00B25E93" w:rsidRDefault="00B61E88" w:rsidP="00B61E88">
      <w:pPr>
        <w:pStyle w:val="JROCBodyText"/>
        <w:ind w:left="720" w:right="566"/>
        <w:jc w:val="both"/>
        <w:rPr>
          <w:rFonts w:asciiTheme="minorHAnsi" w:hAnsiTheme="minorHAnsi" w:cstheme="minorHAnsi"/>
          <w:sz w:val="22"/>
          <w:szCs w:val="22"/>
        </w:rPr>
      </w:pPr>
    </w:p>
    <w:p w14:paraId="11338590" w14:textId="2E4476CD" w:rsidR="00B61E88" w:rsidRPr="00B25E93" w:rsidRDefault="0014449D" w:rsidP="62084865">
      <w:pPr>
        <w:pStyle w:val="JROCBodyText"/>
        <w:numPr>
          <w:ilvl w:val="0"/>
          <w:numId w:val="4"/>
        </w:numPr>
        <w:ind w:right="566"/>
        <w:jc w:val="both"/>
        <w:rPr>
          <w:rFonts w:asciiTheme="minorHAnsi" w:eastAsiaTheme="minorEastAsia" w:hAnsiTheme="minorHAnsi" w:cstheme="minorBidi"/>
          <w:sz w:val="22"/>
          <w:szCs w:val="22"/>
        </w:rPr>
      </w:pPr>
      <w:r w:rsidRPr="62084865">
        <w:rPr>
          <w:rFonts w:asciiTheme="minorHAnsi" w:hAnsiTheme="minorHAnsi" w:cstheme="minorBidi"/>
          <w:sz w:val="22"/>
          <w:szCs w:val="22"/>
        </w:rPr>
        <w:t xml:space="preserve">Can sharing identity detail through open banking help and support the payments / financial services ecosystem? </w:t>
      </w:r>
      <w:r w:rsidR="00F408A6" w:rsidRPr="62084865">
        <w:rPr>
          <w:rFonts w:asciiTheme="minorHAnsi" w:hAnsiTheme="minorHAnsi" w:cstheme="minorBidi"/>
          <w:sz w:val="22"/>
          <w:szCs w:val="22"/>
        </w:rPr>
        <w:t xml:space="preserve"> Please provide rationale and evidence.</w:t>
      </w:r>
      <w:r w:rsidR="002E6F61" w:rsidRPr="62084865">
        <w:rPr>
          <w:rFonts w:asciiTheme="minorHAnsi" w:hAnsiTheme="minorHAnsi" w:cstheme="minorBidi"/>
          <w:sz w:val="22"/>
          <w:szCs w:val="22"/>
        </w:rPr>
        <w:t xml:space="preserve"> </w:t>
      </w:r>
      <w:r w:rsidRPr="62084865">
        <w:rPr>
          <w:rFonts w:asciiTheme="minorHAnsi" w:hAnsiTheme="minorHAnsi" w:cstheme="minorBidi"/>
          <w:sz w:val="22"/>
          <w:szCs w:val="22"/>
        </w:rPr>
        <w:t>What are the use cases and models that could thrive? Are there barriers to adoption and if so, how do we address those?</w:t>
      </w:r>
    </w:p>
    <w:p w14:paraId="00979FC3" w14:textId="77777777" w:rsidR="00B61E88" w:rsidRPr="00B25E93" w:rsidRDefault="00B61E88" w:rsidP="00B61E88">
      <w:pPr>
        <w:pStyle w:val="JROCBodyText"/>
        <w:ind w:left="720" w:right="566"/>
        <w:jc w:val="both"/>
        <w:rPr>
          <w:rFonts w:asciiTheme="minorHAnsi" w:hAnsiTheme="minorHAnsi" w:cstheme="minorHAnsi"/>
          <w:sz w:val="22"/>
          <w:szCs w:val="22"/>
        </w:rPr>
      </w:pPr>
    </w:p>
    <w:p w14:paraId="53D8A307" w14:textId="138E56C4" w:rsidR="00B61E88" w:rsidRPr="00B25E93" w:rsidRDefault="0014449D" w:rsidP="62084865">
      <w:pPr>
        <w:pStyle w:val="JROCBodyText"/>
        <w:numPr>
          <w:ilvl w:val="0"/>
          <w:numId w:val="4"/>
        </w:numPr>
        <w:ind w:right="566"/>
        <w:jc w:val="both"/>
        <w:rPr>
          <w:rFonts w:asciiTheme="minorHAnsi" w:eastAsiaTheme="minorEastAsia" w:hAnsiTheme="minorHAnsi" w:cstheme="minorBidi"/>
          <w:sz w:val="22"/>
          <w:szCs w:val="22"/>
        </w:rPr>
      </w:pPr>
      <w:r w:rsidRPr="62084865">
        <w:rPr>
          <w:rFonts w:asciiTheme="minorHAnsi" w:hAnsiTheme="minorHAnsi" w:cstheme="minorBidi"/>
          <w:sz w:val="22"/>
          <w:szCs w:val="22"/>
        </w:rPr>
        <w:t>What are the new use cases that could be developed to benefit consumers in vulnerable circumstances (e.g., in situation of bereavement, limited access to credit, aggravated by cost-of-living crisis etc.)?</w:t>
      </w:r>
      <w:r w:rsidR="002E6F61" w:rsidRPr="62084865">
        <w:rPr>
          <w:rFonts w:asciiTheme="minorHAnsi" w:hAnsiTheme="minorHAnsi" w:cstheme="minorBidi"/>
          <w:sz w:val="22"/>
          <w:szCs w:val="22"/>
        </w:rPr>
        <w:t xml:space="preserve"> </w:t>
      </w:r>
      <w:r w:rsidR="45C8D2A8" w:rsidRPr="62084865">
        <w:rPr>
          <w:rFonts w:asciiTheme="minorHAnsi" w:hAnsiTheme="minorHAnsi" w:cstheme="minorBidi"/>
          <w:sz w:val="22"/>
          <w:szCs w:val="22"/>
        </w:rPr>
        <w:t xml:space="preserve"> Please provide rationale and evidence.</w:t>
      </w:r>
      <w:r w:rsidR="002E6F61" w:rsidRPr="62084865">
        <w:rPr>
          <w:rFonts w:asciiTheme="minorHAnsi" w:hAnsiTheme="minorHAnsi" w:cstheme="minorBidi"/>
          <w:sz w:val="22"/>
          <w:szCs w:val="22"/>
        </w:rPr>
        <w:t xml:space="preserve"> </w:t>
      </w:r>
    </w:p>
    <w:p w14:paraId="38F31D4F" w14:textId="77777777" w:rsidR="00B61E88" w:rsidRDefault="00B61E88" w:rsidP="00B61E88">
      <w:pPr>
        <w:pStyle w:val="JROCBodyText"/>
        <w:ind w:left="720" w:right="566"/>
        <w:jc w:val="both"/>
        <w:rPr>
          <w:rFonts w:asciiTheme="minorHAnsi" w:hAnsiTheme="minorHAnsi" w:cstheme="minorHAnsi"/>
          <w:sz w:val="22"/>
          <w:szCs w:val="22"/>
        </w:rPr>
      </w:pPr>
    </w:p>
    <w:p w14:paraId="61B835DD" w14:textId="56A34AD5" w:rsidR="00B61E88" w:rsidRPr="00B25E93" w:rsidRDefault="0014449D" w:rsidP="62084865">
      <w:pPr>
        <w:pStyle w:val="JROCBodyText"/>
        <w:numPr>
          <w:ilvl w:val="0"/>
          <w:numId w:val="4"/>
        </w:numPr>
        <w:ind w:right="566"/>
        <w:jc w:val="both"/>
        <w:rPr>
          <w:rFonts w:asciiTheme="minorHAnsi" w:eastAsiaTheme="minorEastAsia" w:hAnsiTheme="minorHAnsi" w:cstheme="minorBidi"/>
          <w:sz w:val="22"/>
          <w:szCs w:val="22"/>
        </w:rPr>
      </w:pPr>
      <w:r w:rsidRPr="62084865">
        <w:rPr>
          <w:rFonts w:asciiTheme="minorHAnsi" w:hAnsiTheme="minorHAnsi" w:cstheme="minorBidi"/>
          <w:sz w:val="22"/>
          <w:szCs w:val="22"/>
        </w:rPr>
        <w:t xml:space="preserve">What is the role open banking can play in widening access to financial services products and financial inclusion? </w:t>
      </w:r>
      <w:r w:rsidR="638978DF" w:rsidRPr="62084865">
        <w:rPr>
          <w:rFonts w:asciiTheme="minorHAnsi" w:hAnsiTheme="minorHAnsi" w:cstheme="minorBidi"/>
          <w:sz w:val="22"/>
          <w:szCs w:val="22"/>
        </w:rPr>
        <w:t xml:space="preserve"> Please provide rationale and evidence.</w:t>
      </w:r>
      <w:r w:rsidR="002E6F61" w:rsidRPr="62084865">
        <w:rPr>
          <w:rFonts w:asciiTheme="minorHAnsi" w:hAnsiTheme="minorHAnsi" w:cstheme="minorBidi"/>
          <w:sz w:val="22"/>
          <w:szCs w:val="22"/>
        </w:rPr>
        <w:t xml:space="preserve"> </w:t>
      </w:r>
      <w:r w:rsidRPr="62084865">
        <w:rPr>
          <w:rFonts w:asciiTheme="minorHAnsi" w:hAnsiTheme="minorHAnsi" w:cstheme="minorBidi"/>
          <w:sz w:val="22"/>
          <w:szCs w:val="22"/>
        </w:rPr>
        <w:t>More generally, considering ESG, what are the possible use cases and what is needed to support those?</w:t>
      </w:r>
    </w:p>
    <w:p w14:paraId="72F75B24" w14:textId="77777777" w:rsidR="00B61E88" w:rsidRPr="00B25E93" w:rsidRDefault="00B61E88" w:rsidP="00B61E88">
      <w:pPr>
        <w:pStyle w:val="JROCBodyText"/>
        <w:ind w:left="720" w:right="566"/>
        <w:jc w:val="both"/>
        <w:rPr>
          <w:rFonts w:asciiTheme="minorHAnsi" w:hAnsiTheme="minorHAnsi" w:cstheme="minorHAnsi"/>
          <w:sz w:val="22"/>
          <w:szCs w:val="22"/>
        </w:rPr>
      </w:pPr>
    </w:p>
    <w:p w14:paraId="16705796" w14:textId="77777777" w:rsidR="00B61E88" w:rsidRPr="00B25E93" w:rsidRDefault="0014449D" w:rsidP="00B61E88">
      <w:pPr>
        <w:pStyle w:val="JROCBodyText"/>
        <w:numPr>
          <w:ilvl w:val="0"/>
          <w:numId w:val="4"/>
        </w:numPr>
        <w:ind w:right="566"/>
        <w:jc w:val="both"/>
        <w:rPr>
          <w:rFonts w:asciiTheme="minorHAnsi" w:hAnsiTheme="minorHAnsi" w:cstheme="minorHAnsi"/>
          <w:sz w:val="22"/>
          <w:szCs w:val="22"/>
        </w:rPr>
      </w:pPr>
      <w:r w:rsidRPr="00B25E93">
        <w:rPr>
          <w:rFonts w:asciiTheme="minorHAnsi" w:hAnsiTheme="minorHAnsi" w:cstheme="minorHAnsi"/>
          <w:sz w:val="22"/>
          <w:szCs w:val="22"/>
        </w:rPr>
        <w:t>Consider the critical capabilities and functions the</w:t>
      </w:r>
      <w:r>
        <w:rPr>
          <w:rFonts w:asciiTheme="minorHAnsi" w:hAnsiTheme="minorHAnsi" w:cstheme="minorHAnsi"/>
          <w:sz w:val="22"/>
          <w:szCs w:val="22"/>
        </w:rPr>
        <w:t xml:space="preserve"> ecosystem and/or the f</w:t>
      </w:r>
      <w:r w:rsidRPr="00B25E93">
        <w:rPr>
          <w:rFonts w:asciiTheme="minorHAnsi" w:hAnsiTheme="minorHAnsi" w:cstheme="minorHAnsi"/>
          <w:sz w:val="22"/>
          <w:szCs w:val="22"/>
        </w:rPr>
        <w:t xml:space="preserve">uture </w:t>
      </w:r>
      <w:r>
        <w:rPr>
          <w:rFonts w:asciiTheme="minorHAnsi" w:hAnsiTheme="minorHAnsi" w:cstheme="minorHAnsi"/>
          <w:sz w:val="22"/>
          <w:szCs w:val="22"/>
        </w:rPr>
        <w:t>e</w:t>
      </w:r>
      <w:r w:rsidRPr="00B25E93">
        <w:rPr>
          <w:rFonts w:asciiTheme="minorHAnsi" w:hAnsiTheme="minorHAnsi" w:cstheme="minorHAnsi"/>
          <w:sz w:val="22"/>
          <w:szCs w:val="22"/>
        </w:rPr>
        <w:t>ntity would need to support further data sharing propositions beyond open banking (e.g., considering future open finance framework)</w:t>
      </w:r>
    </w:p>
    <w:p w14:paraId="6EDCD15B" w14:textId="77777777" w:rsidR="00B61E88" w:rsidRPr="00B25E93" w:rsidRDefault="00B61E88" w:rsidP="00B61E88">
      <w:pPr>
        <w:pStyle w:val="JROCBodyText"/>
        <w:ind w:left="720" w:right="566"/>
        <w:jc w:val="both"/>
        <w:rPr>
          <w:rFonts w:asciiTheme="minorHAnsi" w:hAnsiTheme="minorHAnsi" w:cstheme="minorHAnsi"/>
          <w:sz w:val="22"/>
          <w:szCs w:val="22"/>
        </w:rPr>
      </w:pPr>
    </w:p>
    <w:p w14:paraId="28589548" w14:textId="517ABEF8" w:rsidR="00B61E88" w:rsidRDefault="0014449D" w:rsidP="62084865">
      <w:pPr>
        <w:pStyle w:val="JROCBodyText"/>
        <w:numPr>
          <w:ilvl w:val="0"/>
          <w:numId w:val="4"/>
        </w:numPr>
        <w:ind w:right="566"/>
        <w:jc w:val="both"/>
        <w:rPr>
          <w:rFonts w:asciiTheme="minorHAnsi" w:eastAsiaTheme="minorEastAsia" w:hAnsiTheme="minorHAnsi" w:cstheme="minorBidi"/>
          <w:sz w:val="22"/>
          <w:szCs w:val="22"/>
        </w:rPr>
      </w:pPr>
      <w:r w:rsidRPr="62084865">
        <w:rPr>
          <w:rFonts w:asciiTheme="minorHAnsi" w:hAnsiTheme="minorHAnsi" w:cstheme="minorBidi"/>
          <w:sz w:val="22"/>
          <w:szCs w:val="22"/>
        </w:rPr>
        <w:t>What additional standards or guidance would be needed to support use cases discussed above?</w:t>
      </w:r>
      <w:r w:rsidR="002E6F61" w:rsidRPr="62084865">
        <w:rPr>
          <w:rFonts w:asciiTheme="minorHAnsi" w:hAnsiTheme="minorHAnsi" w:cstheme="minorBidi"/>
          <w:sz w:val="22"/>
          <w:szCs w:val="22"/>
        </w:rPr>
        <w:t xml:space="preserve"> </w:t>
      </w:r>
      <w:r w:rsidR="1BB58C7C" w:rsidRPr="62084865">
        <w:rPr>
          <w:rFonts w:asciiTheme="minorHAnsi" w:hAnsiTheme="minorHAnsi" w:cstheme="minorBidi"/>
          <w:sz w:val="22"/>
          <w:szCs w:val="22"/>
        </w:rPr>
        <w:t xml:space="preserve"> Please provide rationale and evidence.</w:t>
      </w:r>
      <w:r w:rsidR="002E6F61" w:rsidRPr="62084865">
        <w:rPr>
          <w:rFonts w:asciiTheme="minorHAnsi" w:hAnsiTheme="minorHAnsi" w:cstheme="minorBidi"/>
          <w:sz w:val="22"/>
          <w:szCs w:val="22"/>
        </w:rPr>
        <w:t xml:space="preserve"> </w:t>
      </w:r>
    </w:p>
    <w:p w14:paraId="6963C37F" w14:textId="77777777" w:rsidR="00B61E88" w:rsidRDefault="00B61E88" w:rsidP="00B61E88">
      <w:pPr>
        <w:pStyle w:val="ListParagraph"/>
        <w:jc w:val="both"/>
        <w:rPr>
          <w:rFonts w:asciiTheme="minorHAnsi" w:hAnsiTheme="minorHAnsi" w:cstheme="minorHAnsi"/>
          <w:sz w:val="22"/>
          <w:szCs w:val="22"/>
        </w:rPr>
      </w:pPr>
    </w:p>
    <w:p w14:paraId="334FBEE5" w14:textId="6CFD1804" w:rsidR="00B61E88" w:rsidRPr="006A37DB" w:rsidRDefault="0014449D" w:rsidP="62084865">
      <w:pPr>
        <w:pStyle w:val="JROCBodyText"/>
        <w:numPr>
          <w:ilvl w:val="0"/>
          <w:numId w:val="4"/>
        </w:numPr>
        <w:ind w:right="566"/>
        <w:jc w:val="both"/>
        <w:rPr>
          <w:rFonts w:asciiTheme="minorHAnsi" w:eastAsiaTheme="minorEastAsia" w:hAnsiTheme="minorHAnsi" w:cstheme="minorBidi"/>
          <w:color w:val="006485"/>
          <w:sz w:val="22"/>
          <w:szCs w:val="22"/>
        </w:rPr>
      </w:pPr>
      <w:r w:rsidRPr="62084865">
        <w:rPr>
          <w:rFonts w:asciiTheme="minorHAnsi" w:hAnsiTheme="minorHAnsi" w:cstheme="minorBidi"/>
          <w:sz w:val="22"/>
          <w:szCs w:val="22"/>
        </w:rPr>
        <w:t>What areas would multilateral agreements covering services beyond the Order and existing regulations need to cover in order to facilitate continued development of data sharing under open banking in a safe and efficient manner?</w:t>
      </w:r>
      <w:r w:rsidR="002E6F61" w:rsidRPr="62084865">
        <w:rPr>
          <w:rFonts w:asciiTheme="minorHAnsi" w:hAnsiTheme="minorHAnsi" w:cstheme="minorBidi"/>
          <w:sz w:val="22"/>
          <w:szCs w:val="22"/>
        </w:rPr>
        <w:t xml:space="preserve"> </w:t>
      </w:r>
      <w:r w:rsidR="014A1F17" w:rsidRPr="62084865">
        <w:rPr>
          <w:rFonts w:asciiTheme="minorHAnsi" w:hAnsiTheme="minorHAnsi" w:cstheme="minorBidi"/>
          <w:sz w:val="22"/>
          <w:szCs w:val="22"/>
        </w:rPr>
        <w:t xml:space="preserve"> Please provide rationale and evidence.</w:t>
      </w:r>
      <w:r w:rsidRPr="62084865">
        <w:rPr>
          <w:rFonts w:asciiTheme="minorHAnsi" w:hAnsiTheme="minorHAnsi" w:cstheme="minorBidi"/>
          <w:sz w:val="22"/>
          <w:szCs w:val="22"/>
        </w:rPr>
        <w:t xml:space="preserve"> </w:t>
      </w:r>
      <w:r w:rsidRPr="62084865">
        <w:rPr>
          <w:rFonts w:asciiTheme="minorHAnsi" w:hAnsiTheme="minorHAnsi" w:cstheme="minorBidi"/>
          <w:color w:val="006485" w:themeColor="accent1" w:themeShade="BF"/>
          <w:sz w:val="22"/>
          <w:szCs w:val="22"/>
        </w:rPr>
        <w:t>[Link to Priority 1]</w:t>
      </w:r>
    </w:p>
    <w:p w14:paraId="2FB95EF4" w14:textId="77777777" w:rsidR="00B61E88" w:rsidRDefault="00B61E88" w:rsidP="000056D6">
      <w:pPr>
        <w:pStyle w:val="JROCBodyText"/>
        <w:jc w:val="both"/>
        <w:rPr>
          <w:rFonts w:asciiTheme="minorHAnsi" w:hAnsiTheme="minorHAnsi" w:cstheme="minorHAnsi"/>
          <w:color w:val="006485"/>
          <w:sz w:val="22"/>
          <w:szCs w:val="22"/>
        </w:rPr>
      </w:pPr>
    </w:p>
    <w:sectPr w:rsidR="00B61E88" w:rsidSect="00B61E88">
      <w:headerReference w:type="default" r:id="rId10"/>
      <w:headerReference w:type="first" r:id="rId11"/>
      <w:footerReference w:type="first" r:id="rId12"/>
      <w:pgSz w:w="11906" w:h="16838" w:code="9"/>
      <w:pgMar w:top="2127" w:right="849" w:bottom="1985" w:left="85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4941E" w14:textId="77777777" w:rsidR="00B42F9B" w:rsidRDefault="00B42F9B">
      <w:r>
        <w:separator/>
      </w:r>
    </w:p>
  </w:endnote>
  <w:endnote w:type="continuationSeparator" w:id="0">
    <w:p w14:paraId="1B2F1F98" w14:textId="77777777" w:rsidR="00B42F9B" w:rsidRDefault="00B42F9B">
      <w:r>
        <w:continuationSeparator/>
      </w:r>
    </w:p>
  </w:endnote>
  <w:endnote w:type="continuationNotice" w:id="1">
    <w:p w14:paraId="01DA7B5F" w14:textId="77777777" w:rsidR="00B42F9B" w:rsidRDefault="00B42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92"/>
      <w:gridCol w:w="3261"/>
      <w:gridCol w:w="3195"/>
    </w:tblGrid>
    <w:tr w:rsidR="00885D90" w14:paraId="6944A767" w14:textId="77777777" w:rsidTr="00B61E88">
      <w:tc>
        <w:tcPr>
          <w:tcW w:w="3892" w:type="dxa"/>
        </w:tcPr>
        <w:p w14:paraId="05A896B6" w14:textId="77777777" w:rsidR="00B61E88" w:rsidRPr="002E4EB9" w:rsidRDefault="0014449D" w:rsidP="00B61E88">
          <w:pPr>
            <w:pStyle w:val="Footer"/>
            <w:tabs>
              <w:tab w:val="left" w:pos="2925"/>
            </w:tabs>
            <w:rPr>
              <w:b/>
              <w:bCs/>
              <w:color w:val="ADABA7"/>
              <w:sz w:val="16"/>
              <w:szCs w:val="16"/>
            </w:rPr>
          </w:pPr>
          <w:r w:rsidRPr="002E4EB9">
            <w:rPr>
              <w:b/>
              <w:bCs/>
              <w:color w:val="ADABA7" w:themeColor="accent2"/>
              <w:sz w:val="16"/>
              <w:szCs w:val="16"/>
            </w:rPr>
            <w:t>Joint Regulatory Oversight Committee members</w:t>
          </w:r>
        </w:p>
        <w:p w14:paraId="2FAA8741" w14:textId="77777777" w:rsidR="00B61E88" w:rsidRPr="002E4EB9" w:rsidRDefault="0014449D" w:rsidP="00B61E88">
          <w:pPr>
            <w:pStyle w:val="Footer"/>
            <w:tabs>
              <w:tab w:val="left" w:pos="2925"/>
            </w:tabs>
            <w:rPr>
              <w:color w:val="ADABA7"/>
              <w:sz w:val="16"/>
              <w:szCs w:val="16"/>
            </w:rPr>
          </w:pPr>
          <w:r w:rsidRPr="002E4EB9">
            <w:rPr>
              <w:color w:val="ADABA7" w:themeColor="accent2"/>
              <w:sz w:val="16"/>
              <w:szCs w:val="16"/>
            </w:rPr>
            <w:t>The Financial Conduct Authority (Co-Chair)</w:t>
          </w:r>
        </w:p>
        <w:p w14:paraId="3C1398DD" w14:textId="77777777" w:rsidR="00B61E88" w:rsidRPr="002E4EB9" w:rsidRDefault="0014449D" w:rsidP="00B61E88">
          <w:pPr>
            <w:pStyle w:val="Footer"/>
            <w:tabs>
              <w:tab w:val="left" w:pos="2925"/>
            </w:tabs>
            <w:rPr>
              <w:color w:val="ADABA7"/>
              <w:sz w:val="16"/>
              <w:szCs w:val="16"/>
            </w:rPr>
          </w:pPr>
          <w:r w:rsidRPr="002E4EB9">
            <w:rPr>
              <w:color w:val="ADABA7" w:themeColor="accent2"/>
              <w:sz w:val="16"/>
              <w:szCs w:val="16"/>
            </w:rPr>
            <w:t>The Payment Systems Regulator (Co-Chair)</w:t>
          </w:r>
        </w:p>
        <w:p w14:paraId="56DC1E5D" w14:textId="77777777" w:rsidR="00B61E88" w:rsidRPr="002E4EB9" w:rsidRDefault="0014449D" w:rsidP="00B61E88">
          <w:pPr>
            <w:pStyle w:val="Footer"/>
            <w:tabs>
              <w:tab w:val="left" w:pos="2925"/>
            </w:tabs>
            <w:rPr>
              <w:color w:val="ADABA7"/>
              <w:sz w:val="16"/>
              <w:szCs w:val="16"/>
            </w:rPr>
          </w:pPr>
          <w:r w:rsidRPr="002E4EB9">
            <w:rPr>
              <w:color w:val="ADABA7" w:themeColor="accent2"/>
              <w:sz w:val="16"/>
              <w:szCs w:val="16"/>
            </w:rPr>
            <w:t>The Competition and Markets Authority</w:t>
          </w:r>
        </w:p>
        <w:p w14:paraId="5585CBF2" w14:textId="77777777" w:rsidR="00B61E88" w:rsidRPr="002E4EB9" w:rsidRDefault="0014449D" w:rsidP="00B61E88">
          <w:pPr>
            <w:pStyle w:val="Footer"/>
            <w:tabs>
              <w:tab w:val="clear" w:pos="4513"/>
              <w:tab w:val="clear" w:pos="9026"/>
              <w:tab w:val="left" w:pos="2925"/>
            </w:tabs>
            <w:rPr>
              <w:color w:val="ADABA7"/>
              <w:sz w:val="16"/>
              <w:szCs w:val="16"/>
            </w:rPr>
          </w:pPr>
          <w:r w:rsidRPr="002E4EB9">
            <w:rPr>
              <w:color w:val="ADABA7" w:themeColor="accent2"/>
              <w:sz w:val="16"/>
              <w:szCs w:val="16"/>
            </w:rPr>
            <w:t>Her Majesty’s Treasury</w:t>
          </w:r>
        </w:p>
      </w:tc>
      <w:tc>
        <w:tcPr>
          <w:tcW w:w="3261" w:type="dxa"/>
        </w:tcPr>
        <w:p w14:paraId="08EDEDEA" w14:textId="77777777" w:rsidR="00B61E88" w:rsidRPr="000D2C61" w:rsidRDefault="0014449D" w:rsidP="00B61E88">
          <w:pPr>
            <w:pStyle w:val="Footer"/>
            <w:tabs>
              <w:tab w:val="left" w:pos="2925"/>
            </w:tabs>
            <w:rPr>
              <w:b/>
              <w:bCs/>
              <w:color w:val="ADABA7"/>
              <w:sz w:val="16"/>
              <w:szCs w:val="16"/>
            </w:rPr>
          </w:pPr>
          <w:r w:rsidRPr="000D2C61">
            <w:rPr>
              <w:b/>
              <w:bCs/>
              <w:color w:val="ADABA7" w:themeColor="accent2"/>
              <w:sz w:val="16"/>
              <w:szCs w:val="16"/>
            </w:rPr>
            <w:t>Financial Conduct Authority (Co-chair)</w:t>
          </w:r>
        </w:p>
        <w:p w14:paraId="2ACCEC2C" w14:textId="77777777" w:rsidR="00B61E88" w:rsidRPr="00E6288E" w:rsidRDefault="0014449D" w:rsidP="00B61E88">
          <w:pPr>
            <w:pStyle w:val="Footer"/>
            <w:tabs>
              <w:tab w:val="left" w:pos="2925"/>
            </w:tabs>
            <w:rPr>
              <w:color w:val="ADABA7"/>
              <w:sz w:val="16"/>
              <w:szCs w:val="16"/>
            </w:rPr>
          </w:pPr>
          <w:r w:rsidRPr="00E6288E">
            <w:rPr>
              <w:color w:val="ADABA7" w:themeColor="accent2"/>
              <w:sz w:val="16"/>
              <w:szCs w:val="16"/>
            </w:rPr>
            <w:t>Company number: 01920623</w:t>
          </w:r>
        </w:p>
        <w:p w14:paraId="128D1660" w14:textId="77777777" w:rsidR="00B61E88" w:rsidRPr="00E6288E" w:rsidRDefault="0014449D" w:rsidP="00B61E88">
          <w:pPr>
            <w:pStyle w:val="Footer"/>
            <w:tabs>
              <w:tab w:val="left" w:pos="2925"/>
            </w:tabs>
            <w:rPr>
              <w:color w:val="ADABA7"/>
              <w:sz w:val="16"/>
              <w:szCs w:val="16"/>
            </w:rPr>
          </w:pPr>
          <w:r w:rsidRPr="00E6288E">
            <w:rPr>
              <w:color w:val="ADABA7" w:themeColor="accent2"/>
              <w:sz w:val="16"/>
              <w:szCs w:val="16"/>
            </w:rPr>
            <w:t>Registered address: 12 Endeavour Square, Stratford London E20 1JN</w:t>
          </w:r>
        </w:p>
        <w:p w14:paraId="49A011CE" w14:textId="77777777" w:rsidR="00B61E88" w:rsidRPr="00E6288E" w:rsidRDefault="0014449D" w:rsidP="00B61E88">
          <w:pPr>
            <w:pStyle w:val="Footer"/>
            <w:tabs>
              <w:tab w:val="left" w:pos="2925"/>
            </w:tabs>
            <w:rPr>
              <w:color w:val="ADABA7"/>
              <w:sz w:val="16"/>
              <w:szCs w:val="16"/>
            </w:rPr>
          </w:pPr>
          <w:r w:rsidRPr="00E6288E">
            <w:rPr>
              <w:color w:val="ADABA7" w:themeColor="accent2"/>
              <w:sz w:val="16"/>
              <w:szCs w:val="16"/>
            </w:rPr>
            <w:t>T +44 (0)20 7066 1000</w:t>
          </w:r>
        </w:p>
        <w:p w14:paraId="1CD7D6C4" w14:textId="77777777" w:rsidR="00B61E88" w:rsidRPr="002E4EB9" w:rsidRDefault="0014449D" w:rsidP="00B61E88">
          <w:pPr>
            <w:pStyle w:val="Footer"/>
            <w:tabs>
              <w:tab w:val="clear" w:pos="4513"/>
              <w:tab w:val="clear" w:pos="9026"/>
              <w:tab w:val="left" w:pos="2925"/>
            </w:tabs>
            <w:rPr>
              <w:color w:val="ADABA7"/>
              <w:sz w:val="16"/>
              <w:szCs w:val="16"/>
            </w:rPr>
          </w:pPr>
          <w:r>
            <w:rPr>
              <w:color w:val="ADABA7" w:themeColor="accent2"/>
              <w:sz w:val="16"/>
              <w:szCs w:val="16"/>
            </w:rPr>
            <w:t>fca</w:t>
          </w:r>
          <w:r w:rsidRPr="00E6288E">
            <w:rPr>
              <w:color w:val="ADABA7" w:themeColor="accent2"/>
              <w:sz w:val="16"/>
              <w:szCs w:val="16"/>
            </w:rPr>
            <w:t>.org.uk</w:t>
          </w:r>
        </w:p>
      </w:tc>
      <w:tc>
        <w:tcPr>
          <w:tcW w:w="3195" w:type="dxa"/>
        </w:tcPr>
        <w:p w14:paraId="1F56E942" w14:textId="77777777" w:rsidR="00B61E88" w:rsidRPr="000D2C61" w:rsidRDefault="0014449D" w:rsidP="00B61E88">
          <w:pPr>
            <w:pStyle w:val="Footer"/>
            <w:tabs>
              <w:tab w:val="left" w:pos="2925"/>
            </w:tabs>
            <w:rPr>
              <w:b/>
              <w:bCs/>
              <w:color w:val="ADABA7"/>
              <w:sz w:val="16"/>
              <w:szCs w:val="16"/>
            </w:rPr>
          </w:pPr>
          <w:r w:rsidRPr="000D2C61">
            <w:rPr>
              <w:b/>
              <w:bCs/>
              <w:color w:val="ADABA7" w:themeColor="accent2"/>
              <w:sz w:val="16"/>
              <w:szCs w:val="16"/>
            </w:rPr>
            <w:t>Payment Systems Regulator (Co-chair)</w:t>
          </w:r>
        </w:p>
        <w:p w14:paraId="643F4A76" w14:textId="77777777" w:rsidR="00B61E88" w:rsidRPr="000D2C61" w:rsidRDefault="0014449D" w:rsidP="00B61E88">
          <w:pPr>
            <w:pStyle w:val="Footer"/>
            <w:tabs>
              <w:tab w:val="left" w:pos="2925"/>
            </w:tabs>
            <w:rPr>
              <w:color w:val="ADABA7"/>
              <w:sz w:val="16"/>
              <w:szCs w:val="16"/>
            </w:rPr>
          </w:pPr>
          <w:r w:rsidRPr="000D2C61">
            <w:rPr>
              <w:color w:val="ADABA7" w:themeColor="accent2"/>
              <w:sz w:val="16"/>
              <w:szCs w:val="16"/>
            </w:rPr>
            <w:t>Company number: 8970864</w:t>
          </w:r>
        </w:p>
        <w:p w14:paraId="6B1887A0" w14:textId="77777777" w:rsidR="00B61E88" w:rsidRPr="000D2C61" w:rsidRDefault="0014449D" w:rsidP="00B61E88">
          <w:pPr>
            <w:pStyle w:val="Footer"/>
            <w:tabs>
              <w:tab w:val="left" w:pos="2925"/>
            </w:tabs>
            <w:rPr>
              <w:color w:val="ADABA7"/>
              <w:sz w:val="16"/>
              <w:szCs w:val="16"/>
            </w:rPr>
          </w:pPr>
          <w:r w:rsidRPr="000D2C61">
            <w:rPr>
              <w:color w:val="ADABA7" w:themeColor="accent2"/>
              <w:sz w:val="16"/>
              <w:szCs w:val="16"/>
            </w:rPr>
            <w:t>Registered address: 12 Endeavour Square, Stratford London E20 1JN</w:t>
          </w:r>
        </w:p>
        <w:p w14:paraId="27180182" w14:textId="77777777" w:rsidR="00B61E88" w:rsidRPr="000D2C61" w:rsidRDefault="0014449D" w:rsidP="00B61E88">
          <w:pPr>
            <w:pStyle w:val="Footer"/>
            <w:tabs>
              <w:tab w:val="left" w:pos="2925"/>
            </w:tabs>
            <w:rPr>
              <w:color w:val="ADABA7"/>
              <w:sz w:val="16"/>
              <w:szCs w:val="16"/>
            </w:rPr>
          </w:pPr>
          <w:r w:rsidRPr="000D2C61">
            <w:rPr>
              <w:color w:val="ADABA7" w:themeColor="accent2"/>
              <w:sz w:val="16"/>
              <w:szCs w:val="16"/>
            </w:rPr>
            <w:t>T +44 (0)20 7066 1000</w:t>
          </w:r>
        </w:p>
        <w:p w14:paraId="5EFE9FC8" w14:textId="77777777" w:rsidR="00B61E88" w:rsidRPr="002E4EB9" w:rsidRDefault="0014449D" w:rsidP="00B61E88">
          <w:pPr>
            <w:pStyle w:val="Footer"/>
            <w:tabs>
              <w:tab w:val="clear" w:pos="4513"/>
              <w:tab w:val="clear" w:pos="9026"/>
              <w:tab w:val="left" w:pos="2925"/>
            </w:tabs>
            <w:rPr>
              <w:color w:val="ADABA7"/>
              <w:sz w:val="16"/>
              <w:szCs w:val="16"/>
            </w:rPr>
          </w:pPr>
          <w:r>
            <w:rPr>
              <w:color w:val="ADABA7" w:themeColor="accent2"/>
              <w:sz w:val="16"/>
              <w:szCs w:val="16"/>
            </w:rPr>
            <w:t>psr</w:t>
          </w:r>
          <w:r w:rsidRPr="000D2C61">
            <w:rPr>
              <w:color w:val="ADABA7" w:themeColor="accent2"/>
              <w:sz w:val="16"/>
              <w:szCs w:val="16"/>
            </w:rPr>
            <w:t>.org.uk</w:t>
          </w:r>
        </w:p>
      </w:tc>
    </w:tr>
  </w:tbl>
  <w:p w14:paraId="09D6FBE7" w14:textId="77777777" w:rsidR="00B61E88" w:rsidRPr="000324CE" w:rsidRDefault="00B61E88" w:rsidP="00B61E88">
    <w:pPr>
      <w:pStyle w:val="Footer"/>
      <w:tabs>
        <w:tab w:val="clear" w:pos="4513"/>
        <w:tab w:val="clear" w:pos="9026"/>
        <w:tab w:val="left" w:pos="2925"/>
      </w:tabs>
      <w:rPr>
        <w:color w:val="ADABA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D5DE6" w14:textId="77777777" w:rsidR="00B42F9B" w:rsidRDefault="00B42F9B">
      <w:r>
        <w:separator/>
      </w:r>
    </w:p>
  </w:footnote>
  <w:footnote w:type="continuationSeparator" w:id="0">
    <w:p w14:paraId="564C0C12" w14:textId="77777777" w:rsidR="00B42F9B" w:rsidRDefault="00B42F9B">
      <w:r>
        <w:continuationSeparator/>
      </w:r>
    </w:p>
  </w:footnote>
  <w:footnote w:type="continuationNotice" w:id="1">
    <w:p w14:paraId="1A300665" w14:textId="77777777" w:rsidR="00B42F9B" w:rsidRDefault="00B42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F7DC" w14:textId="77777777" w:rsidR="00B61E88" w:rsidRDefault="0014449D">
    <w:pPr>
      <w:pStyle w:val="Header"/>
    </w:pPr>
    <w:r>
      <w:rPr>
        <w:noProof/>
      </w:rPr>
      <w:drawing>
        <wp:inline distT="0" distB="0" distL="0" distR="0" wp14:anchorId="31018593" wp14:editId="226E1638">
          <wp:extent cx="6480000" cy="500251"/>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a:stretch>
                    <a:fillRect/>
                  </a:stretch>
                </pic:blipFill>
                <pic:spPr>
                  <a:xfrm>
                    <a:off x="0" y="0"/>
                    <a:ext cx="6480000" cy="50025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25CB" w14:textId="77777777" w:rsidR="00B61E88" w:rsidRDefault="0014449D" w:rsidP="00B61E88">
    <w:pPr>
      <w:pStyle w:val="Header"/>
      <w:tabs>
        <w:tab w:val="left" w:pos="2977"/>
      </w:tabs>
    </w:pPr>
    <w:r>
      <w:rPr>
        <w:noProof/>
      </w:rPr>
      <w:drawing>
        <wp:inline distT="0" distB="0" distL="0" distR="0" wp14:anchorId="7457368F" wp14:editId="50D51272">
          <wp:extent cx="6480000" cy="500251"/>
          <wp:effectExtent l="0" t="0" r="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a:stretch>
                    <a:fillRect/>
                  </a:stretch>
                </pic:blipFill>
                <pic:spPr>
                  <a:xfrm>
                    <a:off x="0" y="0"/>
                    <a:ext cx="6480000" cy="5002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50D54"/>
    <w:multiLevelType w:val="hybridMultilevel"/>
    <w:tmpl w:val="31841C64"/>
    <w:lvl w:ilvl="0" w:tplc="42308320">
      <w:numFmt w:val="bullet"/>
      <w:lvlText w:val="•"/>
      <w:lvlJc w:val="left"/>
      <w:pPr>
        <w:ind w:left="720" w:hanging="360"/>
      </w:pPr>
      <w:rPr>
        <w:rFonts w:ascii="Arial" w:eastAsia="Times New Roman" w:hAnsi="Arial" w:cs="Arial" w:hint="default"/>
      </w:rPr>
    </w:lvl>
    <w:lvl w:ilvl="1" w:tplc="E64CA946" w:tentative="1">
      <w:start w:val="1"/>
      <w:numFmt w:val="bullet"/>
      <w:lvlText w:val="o"/>
      <w:lvlJc w:val="left"/>
      <w:pPr>
        <w:ind w:left="1440" w:hanging="360"/>
      </w:pPr>
      <w:rPr>
        <w:rFonts w:ascii="Courier New" w:hAnsi="Courier New" w:cs="Courier New" w:hint="default"/>
      </w:rPr>
    </w:lvl>
    <w:lvl w:ilvl="2" w:tplc="7B8C34B4" w:tentative="1">
      <w:start w:val="1"/>
      <w:numFmt w:val="bullet"/>
      <w:lvlText w:val=""/>
      <w:lvlJc w:val="left"/>
      <w:pPr>
        <w:ind w:left="2160" w:hanging="360"/>
      </w:pPr>
      <w:rPr>
        <w:rFonts w:ascii="Wingdings" w:hAnsi="Wingdings" w:hint="default"/>
      </w:rPr>
    </w:lvl>
    <w:lvl w:ilvl="3" w:tplc="5BBE1D5A" w:tentative="1">
      <w:start w:val="1"/>
      <w:numFmt w:val="bullet"/>
      <w:lvlText w:val=""/>
      <w:lvlJc w:val="left"/>
      <w:pPr>
        <w:ind w:left="2880" w:hanging="360"/>
      </w:pPr>
      <w:rPr>
        <w:rFonts w:ascii="Symbol" w:hAnsi="Symbol" w:hint="default"/>
      </w:rPr>
    </w:lvl>
    <w:lvl w:ilvl="4" w:tplc="72B886FA" w:tentative="1">
      <w:start w:val="1"/>
      <w:numFmt w:val="bullet"/>
      <w:lvlText w:val="o"/>
      <w:lvlJc w:val="left"/>
      <w:pPr>
        <w:ind w:left="3600" w:hanging="360"/>
      </w:pPr>
      <w:rPr>
        <w:rFonts w:ascii="Courier New" w:hAnsi="Courier New" w:cs="Courier New" w:hint="default"/>
      </w:rPr>
    </w:lvl>
    <w:lvl w:ilvl="5" w:tplc="A5C0264E" w:tentative="1">
      <w:start w:val="1"/>
      <w:numFmt w:val="bullet"/>
      <w:lvlText w:val=""/>
      <w:lvlJc w:val="left"/>
      <w:pPr>
        <w:ind w:left="4320" w:hanging="360"/>
      </w:pPr>
      <w:rPr>
        <w:rFonts w:ascii="Wingdings" w:hAnsi="Wingdings" w:hint="default"/>
      </w:rPr>
    </w:lvl>
    <w:lvl w:ilvl="6" w:tplc="D9D090FE" w:tentative="1">
      <w:start w:val="1"/>
      <w:numFmt w:val="bullet"/>
      <w:lvlText w:val=""/>
      <w:lvlJc w:val="left"/>
      <w:pPr>
        <w:ind w:left="5040" w:hanging="360"/>
      </w:pPr>
      <w:rPr>
        <w:rFonts w:ascii="Symbol" w:hAnsi="Symbol" w:hint="default"/>
      </w:rPr>
    </w:lvl>
    <w:lvl w:ilvl="7" w:tplc="DCE4A88C" w:tentative="1">
      <w:start w:val="1"/>
      <w:numFmt w:val="bullet"/>
      <w:lvlText w:val="o"/>
      <w:lvlJc w:val="left"/>
      <w:pPr>
        <w:ind w:left="5760" w:hanging="360"/>
      </w:pPr>
      <w:rPr>
        <w:rFonts w:ascii="Courier New" w:hAnsi="Courier New" w:cs="Courier New" w:hint="default"/>
      </w:rPr>
    </w:lvl>
    <w:lvl w:ilvl="8" w:tplc="700C1284" w:tentative="1">
      <w:start w:val="1"/>
      <w:numFmt w:val="bullet"/>
      <w:lvlText w:val=""/>
      <w:lvlJc w:val="left"/>
      <w:pPr>
        <w:ind w:left="6480" w:hanging="360"/>
      </w:pPr>
      <w:rPr>
        <w:rFonts w:ascii="Wingdings" w:hAnsi="Wingdings" w:hint="default"/>
      </w:rPr>
    </w:lvl>
  </w:abstractNum>
  <w:abstractNum w:abstractNumId="1" w15:restartNumberingAfterBreak="0">
    <w:nsid w:val="20841EA0"/>
    <w:multiLevelType w:val="hybridMultilevel"/>
    <w:tmpl w:val="486CDEBE"/>
    <w:lvl w:ilvl="0" w:tplc="8D321DC8">
      <w:start w:val="1"/>
      <w:numFmt w:val="decimal"/>
      <w:lvlText w:val="%1."/>
      <w:lvlJc w:val="left"/>
      <w:pPr>
        <w:ind w:left="720" w:hanging="360"/>
      </w:pPr>
      <w:rPr>
        <w:rFonts w:hint="default"/>
        <w:color w:val="auto"/>
      </w:rPr>
    </w:lvl>
    <w:lvl w:ilvl="1" w:tplc="E43EDF2E" w:tentative="1">
      <w:start w:val="1"/>
      <w:numFmt w:val="bullet"/>
      <w:lvlText w:val="o"/>
      <w:lvlJc w:val="left"/>
      <w:pPr>
        <w:ind w:left="1440" w:hanging="360"/>
      </w:pPr>
      <w:rPr>
        <w:rFonts w:ascii="Courier New" w:hAnsi="Courier New" w:cs="Courier New" w:hint="default"/>
      </w:rPr>
    </w:lvl>
    <w:lvl w:ilvl="2" w:tplc="8B689740" w:tentative="1">
      <w:start w:val="1"/>
      <w:numFmt w:val="bullet"/>
      <w:lvlText w:val=""/>
      <w:lvlJc w:val="left"/>
      <w:pPr>
        <w:ind w:left="2160" w:hanging="360"/>
      </w:pPr>
      <w:rPr>
        <w:rFonts w:ascii="Wingdings" w:hAnsi="Wingdings" w:hint="default"/>
      </w:rPr>
    </w:lvl>
    <w:lvl w:ilvl="3" w:tplc="FF420DE8" w:tentative="1">
      <w:start w:val="1"/>
      <w:numFmt w:val="bullet"/>
      <w:lvlText w:val=""/>
      <w:lvlJc w:val="left"/>
      <w:pPr>
        <w:ind w:left="2880" w:hanging="360"/>
      </w:pPr>
      <w:rPr>
        <w:rFonts w:ascii="Symbol" w:hAnsi="Symbol" w:hint="default"/>
      </w:rPr>
    </w:lvl>
    <w:lvl w:ilvl="4" w:tplc="D5B898A8" w:tentative="1">
      <w:start w:val="1"/>
      <w:numFmt w:val="bullet"/>
      <w:lvlText w:val="o"/>
      <w:lvlJc w:val="left"/>
      <w:pPr>
        <w:ind w:left="3600" w:hanging="360"/>
      </w:pPr>
      <w:rPr>
        <w:rFonts w:ascii="Courier New" w:hAnsi="Courier New" w:cs="Courier New" w:hint="default"/>
      </w:rPr>
    </w:lvl>
    <w:lvl w:ilvl="5" w:tplc="CAEA0F66" w:tentative="1">
      <w:start w:val="1"/>
      <w:numFmt w:val="bullet"/>
      <w:lvlText w:val=""/>
      <w:lvlJc w:val="left"/>
      <w:pPr>
        <w:ind w:left="4320" w:hanging="360"/>
      </w:pPr>
      <w:rPr>
        <w:rFonts w:ascii="Wingdings" w:hAnsi="Wingdings" w:hint="default"/>
      </w:rPr>
    </w:lvl>
    <w:lvl w:ilvl="6" w:tplc="FBB289F0" w:tentative="1">
      <w:start w:val="1"/>
      <w:numFmt w:val="bullet"/>
      <w:lvlText w:val=""/>
      <w:lvlJc w:val="left"/>
      <w:pPr>
        <w:ind w:left="5040" w:hanging="360"/>
      </w:pPr>
      <w:rPr>
        <w:rFonts w:ascii="Symbol" w:hAnsi="Symbol" w:hint="default"/>
      </w:rPr>
    </w:lvl>
    <w:lvl w:ilvl="7" w:tplc="4FD2913E" w:tentative="1">
      <w:start w:val="1"/>
      <w:numFmt w:val="bullet"/>
      <w:lvlText w:val="o"/>
      <w:lvlJc w:val="left"/>
      <w:pPr>
        <w:ind w:left="5760" w:hanging="360"/>
      </w:pPr>
      <w:rPr>
        <w:rFonts w:ascii="Courier New" w:hAnsi="Courier New" w:cs="Courier New" w:hint="default"/>
      </w:rPr>
    </w:lvl>
    <w:lvl w:ilvl="8" w:tplc="9A961AAE" w:tentative="1">
      <w:start w:val="1"/>
      <w:numFmt w:val="bullet"/>
      <w:lvlText w:val=""/>
      <w:lvlJc w:val="left"/>
      <w:pPr>
        <w:ind w:left="6480" w:hanging="360"/>
      </w:pPr>
      <w:rPr>
        <w:rFonts w:ascii="Wingdings" w:hAnsi="Wingdings" w:hint="default"/>
      </w:rPr>
    </w:lvl>
  </w:abstractNum>
  <w:abstractNum w:abstractNumId="2" w15:restartNumberingAfterBreak="0">
    <w:nsid w:val="26EF4E37"/>
    <w:multiLevelType w:val="hybridMultilevel"/>
    <w:tmpl w:val="3F064230"/>
    <w:lvl w:ilvl="0" w:tplc="68527A3C">
      <w:start w:val="1"/>
      <w:numFmt w:val="decimal"/>
      <w:pStyle w:val="JROCBodyTextnumbered"/>
      <w:lvlText w:val="%1"/>
      <w:lvlJc w:val="left"/>
      <w:pPr>
        <w:ind w:left="720" w:hanging="360"/>
      </w:pPr>
      <w:rPr>
        <w:rFonts w:ascii="Arial" w:hAnsi="Arial" w:hint="default"/>
        <w:b/>
        <w:i w:val="0"/>
        <w:color w:val="auto"/>
      </w:rPr>
    </w:lvl>
    <w:lvl w:ilvl="1" w:tplc="E95AB2D6" w:tentative="1">
      <w:start w:val="1"/>
      <w:numFmt w:val="lowerLetter"/>
      <w:lvlText w:val="%2."/>
      <w:lvlJc w:val="left"/>
      <w:pPr>
        <w:ind w:left="1440" w:hanging="360"/>
      </w:pPr>
    </w:lvl>
    <w:lvl w:ilvl="2" w:tplc="3676C99A" w:tentative="1">
      <w:start w:val="1"/>
      <w:numFmt w:val="lowerRoman"/>
      <w:lvlText w:val="%3."/>
      <w:lvlJc w:val="right"/>
      <w:pPr>
        <w:ind w:left="2160" w:hanging="180"/>
      </w:pPr>
    </w:lvl>
    <w:lvl w:ilvl="3" w:tplc="CA526774" w:tentative="1">
      <w:start w:val="1"/>
      <w:numFmt w:val="decimal"/>
      <w:lvlText w:val="%4."/>
      <w:lvlJc w:val="left"/>
      <w:pPr>
        <w:ind w:left="2880" w:hanging="360"/>
      </w:pPr>
    </w:lvl>
    <w:lvl w:ilvl="4" w:tplc="469C467A" w:tentative="1">
      <w:start w:val="1"/>
      <w:numFmt w:val="lowerLetter"/>
      <w:lvlText w:val="%5."/>
      <w:lvlJc w:val="left"/>
      <w:pPr>
        <w:ind w:left="3600" w:hanging="360"/>
      </w:pPr>
    </w:lvl>
    <w:lvl w:ilvl="5" w:tplc="095C684A" w:tentative="1">
      <w:start w:val="1"/>
      <w:numFmt w:val="lowerRoman"/>
      <w:lvlText w:val="%6."/>
      <w:lvlJc w:val="right"/>
      <w:pPr>
        <w:ind w:left="4320" w:hanging="180"/>
      </w:pPr>
    </w:lvl>
    <w:lvl w:ilvl="6" w:tplc="5F84DD76" w:tentative="1">
      <w:start w:val="1"/>
      <w:numFmt w:val="decimal"/>
      <w:lvlText w:val="%7."/>
      <w:lvlJc w:val="left"/>
      <w:pPr>
        <w:ind w:left="5040" w:hanging="360"/>
      </w:pPr>
    </w:lvl>
    <w:lvl w:ilvl="7" w:tplc="A4028AA8" w:tentative="1">
      <w:start w:val="1"/>
      <w:numFmt w:val="lowerLetter"/>
      <w:lvlText w:val="%8."/>
      <w:lvlJc w:val="left"/>
      <w:pPr>
        <w:ind w:left="5760" w:hanging="360"/>
      </w:pPr>
    </w:lvl>
    <w:lvl w:ilvl="8" w:tplc="BA64159C" w:tentative="1">
      <w:start w:val="1"/>
      <w:numFmt w:val="lowerRoman"/>
      <w:lvlText w:val="%9."/>
      <w:lvlJc w:val="right"/>
      <w:pPr>
        <w:ind w:left="6480" w:hanging="180"/>
      </w:pPr>
    </w:lvl>
  </w:abstractNum>
  <w:abstractNum w:abstractNumId="3" w15:restartNumberingAfterBreak="0">
    <w:nsid w:val="2DBE1902"/>
    <w:multiLevelType w:val="hybridMultilevel"/>
    <w:tmpl w:val="2A125128"/>
    <w:lvl w:ilvl="0" w:tplc="0A5E2F9E">
      <w:numFmt w:val="bullet"/>
      <w:lvlText w:val="•"/>
      <w:lvlJc w:val="left"/>
      <w:pPr>
        <w:ind w:left="1440" w:hanging="360"/>
      </w:pPr>
      <w:rPr>
        <w:rFonts w:ascii="Arial" w:eastAsia="Times New Roman" w:hAnsi="Arial" w:cs="Arial" w:hint="default"/>
      </w:rPr>
    </w:lvl>
    <w:lvl w:ilvl="1" w:tplc="1F72CB08" w:tentative="1">
      <w:start w:val="1"/>
      <w:numFmt w:val="bullet"/>
      <w:lvlText w:val="o"/>
      <w:lvlJc w:val="left"/>
      <w:pPr>
        <w:ind w:left="2160" w:hanging="360"/>
      </w:pPr>
      <w:rPr>
        <w:rFonts w:ascii="Courier New" w:hAnsi="Courier New" w:cs="Courier New" w:hint="default"/>
      </w:rPr>
    </w:lvl>
    <w:lvl w:ilvl="2" w:tplc="96188C3C" w:tentative="1">
      <w:start w:val="1"/>
      <w:numFmt w:val="bullet"/>
      <w:lvlText w:val=""/>
      <w:lvlJc w:val="left"/>
      <w:pPr>
        <w:ind w:left="2880" w:hanging="360"/>
      </w:pPr>
      <w:rPr>
        <w:rFonts w:ascii="Wingdings" w:hAnsi="Wingdings" w:hint="default"/>
      </w:rPr>
    </w:lvl>
    <w:lvl w:ilvl="3" w:tplc="6150B378" w:tentative="1">
      <w:start w:val="1"/>
      <w:numFmt w:val="bullet"/>
      <w:lvlText w:val=""/>
      <w:lvlJc w:val="left"/>
      <w:pPr>
        <w:ind w:left="3600" w:hanging="360"/>
      </w:pPr>
      <w:rPr>
        <w:rFonts w:ascii="Symbol" w:hAnsi="Symbol" w:hint="default"/>
      </w:rPr>
    </w:lvl>
    <w:lvl w:ilvl="4" w:tplc="8F1EF256" w:tentative="1">
      <w:start w:val="1"/>
      <w:numFmt w:val="bullet"/>
      <w:lvlText w:val="o"/>
      <w:lvlJc w:val="left"/>
      <w:pPr>
        <w:ind w:left="4320" w:hanging="360"/>
      </w:pPr>
      <w:rPr>
        <w:rFonts w:ascii="Courier New" w:hAnsi="Courier New" w:cs="Courier New" w:hint="default"/>
      </w:rPr>
    </w:lvl>
    <w:lvl w:ilvl="5" w:tplc="6B52A61C" w:tentative="1">
      <w:start w:val="1"/>
      <w:numFmt w:val="bullet"/>
      <w:lvlText w:val=""/>
      <w:lvlJc w:val="left"/>
      <w:pPr>
        <w:ind w:left="5040" w:hanging="360"/>
      </w:pPr>
      <w:rPr>
        <w:rFonts w:ascii="Wingdings" w:hAnsi="Wingdings" w:hint="default"/>
      </w:rPr>
    </w:lvl>
    <w:lvl w:ilvl="6" w:tplc="F898AABA" w:tentative="1">
      <w:start w:val="1"/>
      <w:numFmt w:val="bullet"/>
      <w:lvlText w:val=""/>
      <w:lvlJc w:val="left"/>
      <w:pPr>
        <w:ind w:left="5760" w:hanging="360"/>
      </w:pPr>
      <w:rPr>
        <w:rFonts w:ascii="Symbol" w:hAnsi="Symbol" w:hint="default"/>
      </w:rPr>
    </w:lvl>
    <w:lvl w:ilvl="7" w:tplc="1CEAB5EE" w:tentative="1">
      <w:start w:val="1"/>
      <w:numFmt w:val="bullet"/>
      <w:lvlText w:val="o"/>
      <w:lvlJc w:val="left"/>
      <w:pPr>
        <w:ind w:left="6480" w:hanging="360"/>
      </w:pPr>
      <w:rPr>
        <w:rFonts w:ascii="Courier New" w:hAnsi="Courier New" w:cs="Courier New" w:hint="default"/>
      </w:rPr>
    </w:lvl>
    <w:lvl w:ilvl="8" w:tplc="E3C6D0BC" w:tentative="1">
      <w:start w:val="1"/>
      <w:numFmt w:val="bullet"/>
      <w:lvlText w:val=""/>
      <w:lvlJc w:val="left"/>
      <w:pPr>
        <w:ind w:left="7200" w:hanging="360"/>
      </w:pPr>
      <w:rPr>
        <w:rFonts w:ascii="Wingdings" w:hAnsi="Wingdings" w:hint="default"/>
      </w:rPr>
    </w:lvl>
  </w:abstractNum>
  <w:abstractNum w:abstractNumId="4" w15:restartNumberingAfterBreak="0">
    <w:nsid w:val="3F542B5E"/>
    <w:multiLevelType w:val="hybridMultilevel"/>
    <w:tmpl w:val="C1BA7DBA"/>
    <w:lvl w:ilvl="0" w:tplc="32ECEC14">
      <w:start w:val="1"/>
      <w:numFmt w:val="bullet"/>
      <w:pStyle w:val="JROCBulletOne"/>
      <w:lvlText w:val="•"/>
      <w:lvlJc w:val="left"/>
      <w:pPr>
        <w:tabs>
          <w:tab w:val="num" w:pos="227"/>
        </w:tabs>
        <w:ind w:left="227" w:hanging="227"/>
      </w:pPr>
      <w:rPr>
        <w:rFonts w:ascii="Trebuchet MS" w:hAnsi="Trebuchet MS" w:hint="default"/>
        <w:sz w:val="20"/>
        <w:szCs w:val="20"/>
      </w:rPr>
    </w:lvl>
    <w:lvl w:ilvl="1" w:tplc="6C4C0062" w:tentative="1">
      <w:start w:val="1"/>
      <w:numFmt w:val="bullet"/>
      <w:lvlText w:val="o"/>
      <w:lvlJc w:val="left"/>
      <w:pPr>
        <w:tabs>
          <w:tab w:val="num" w:pos="1440"/>
        </w:tabs>
        <w:ind w:left="1440" w:hanging="360"/>
      </w:pPr>
      <w:rPr>
        <w:rFonts w:ascii="Courier New" w:hAnsi="Courier New" w:cs="Courier New" w:hint="default"/>
      </w:rPr>
    </w:lvl>
    <w:lvl w:ilvl="2" w:tplc="EEAA9AD4" w:tentative="1">
      <w:start w:val="1"/>
      <w:numFmt w:val="bullet"/>
      <w:lvlText w:val=""/>
      <w:lvlJc w:val="left"/>
      <w:pPr>
        <w:tabs>
          <w:tab w:val="num" w:pos="2160"/>
        </w:tabs>
        <w:ind w:left="2160" w:hanging="360"/>
      </w:pPr>
      <w:rPr>
        <w:rFonts w:ascii="Wingdings" w:hAnsi="Wingdings" w:hint="default"/>
      </w:rPr>
    </w:lvl>
    <w:lvl w:ilvl="3" w:tplc="57BE909C" w:tentative="1">
      <w:start w:val="1"/>
      <w:numFmt w:val="bullet"/>
      <w:lvlText w:val=""/>
      <w:lvlJc w:val="left"/>
      <w:pPr>
        <w:tabs>
          <w:tab w:val="num" w:pos="2880"/>
        </w:tabs>
        <w:ind w:left="2880" w:hanging="360"/>
      </w:pPr>
      <w:rPr>
        <w:rFonts w:ascii="Symbol" w:hAnsi="Symbol" w:hint="default"/>
      </w:rPr>
    </w:lvl>
    <w:lvl w:ilvl="4" w:tplc="51A6B590" w:tentative="1">
      <w:start w:val="1"/>
      <w:numFmt w:val="bullet"/>
      <w:lvlText w:val="o"/>
      <w:lvlJc w:val="left"/>
      <w:pPr>
        <w:tabs>
          <w:tab w:val="num" w:pos="3600"/>
        </w:tabs>
        <w:ind w:left="3600" w:hanging="360"/>
      </w:pPr>
      <w:rPr>
        <w:rFonts w:ascii="Courier New" w:hAnsi="Courier New" w:cs="Courier New" w:hint="default"/>
      </w:rPr>
    </w:lvl>
    <w:lvl w:ilvl="5" w:tplc="F466952A" w:tentative="1">
      <w:start w:val="1"/>
      <w:numFmt w:val="bullet"/>
      <w:lvlText w:val=""/>
      <w:lvlJc w:val="left"/>
      <w:pPr>
        <w:tabs>
          <w:tab w:val="num" w:pos="4320"/>
        </w:tabs>
        <w:ind w:left="4320" w:hanging="360"/>
      </w:pPr>
      <w:rPr>
        <w:rFonts w:ascii="Wingdings" w:hAnsi="Wingdings" w:hint="default"/>
      </w:rPr>
    </w:lvl>
    <w:lvl w:ilvl="6" w:tplc="0BB2150E" w:tentative="1">
      <w:start w:val="1"/>
      <w:numFmt w:val="bullet"/>
      <w:lvlText w:val=""/>
      <w:lvlJc w:val="left"/>
      <w:pPr>
        <w:tabs>
          <w:tab w:val="num" w:pos="5040"/>
        </w:tabs>
        <w:ind w:left="5040" w:hanging="360"/>
      </w:pPr>
      <w:rPr>
        <w:rFonts w:ascii="Symbol" w:hAnsi="Symbol" w:hint="default"/>
      </w:rPr>
    </w:lvl>
    <w:lvl w:ilvl="7" w:tplc="327C2232" w:tentative="1">
      <w:start w:val="1"/>
      <w:numFmt w:val="bullet"/>
      <w:lvlText w:val="o"/>
      <w:lvlJc w:val="left"/>
      <w:pPr>
        <w:tabs>
          <w:tab w:val="num" w:pos="5760"/>
        </w:tabs>
        <w:ind w:left="5760" w:hanging="360"/>
      </w:pPr>
      <w:rPr>
        <w:rFonts w:ascii="Courier New" w:hAnsi="Courier New" w:cs="Courier New" w:hint="default"/>
      </w:rPr>
    </w:lvl>
    <w:lvl w:ilvl="8" w:tplc="38B4CFE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A374AD"/>
    <w:multiLevelType w:val="hybridMultilevel"/>
    <w:tmpl w:val="E256AA4E"/>
    <w:lvl w:ilvl="0" w:tplc="7D1C214E">
      <w:start w:val="1"/>
      <w:numFmt w:val="bullet"/>
      <w:lvlText w:val=""/>
      <w:lvlJc w:val="left"/>
      <w:pPr>
        <w:ind w:left="720" w:hanging="360"/>
      </w:pPr>
      <w:rPr>
        <w:rFonts w:ascii="Symbol" w:hAnsi="Symbol" w:hint="default"/>
      </w:rPr>
    </w:lvl>
    <w:lvl w:ilvl="1" w:tplc="F4202D3C" w:tentative="1">
      <w:start w:val="1"/>
      <w:numFmt w:val="bullet"/>
      <w:lvlText w:val="o"/>
      <w:lvlJc w:val="left"/>
      <w:pPr>
        <w:ind w:left="1440" w:hanging="360"/>
      </w:pPr>
      <w:rPr>
        <w:rFonts w:ascii="Courier New" w:hAnsi="Courier New" w:cs="Courier New" w:hint="default"/>
      </w:rPr>
    </w:lvl>
    <w:lvl w:ilvl="2" w:tplc="BA0AC136" w:tentative="1">
      <w:start w:val="1"/>
      <w:numFmt w:val="bullet"/>
      <w:lvlText w:val=""/>
      <w:lvlJc w:val="left"/>
      <w:pPr>
        <w:ind w:left="2160" w:hanging="360"/>
      </w:pPr>
      <w:rPr>
        <w:rFonts w:ascii="Wingdings" w:hAnsi="Wingdings" w:hint="default"/>
      </w:rPr>
    </w:lvl>
    <w:lvl w:ilvl="3" w:tplc="E3DC18FA" w:tentative="1">
      <w:start w:val="1"/>
      <w:numFmt w:val="bullet"/>
      <w:lvlText w:val=""/>
      <w:lvlJc w:val="left"/>
      <w:pPr>
        <w:ind w:left="2880" w:hanging="360"/>
      </w:pPr>
      <w:rPr>
        <w:rFonts w:ascii="Symbol" w:hAnsi="Symbol" w:hint="default"/>
      </w:rPr>
    </w:lvl>
    <w:lvl w:ilvl="4" w:tplc="AF68D8D6" w:tentative="1">
      <w:start w:val="1"/>
      <w:numFmt w:val="bullet"/>
      <w:lvlText w:val="o"/>
      <w:lvlJc w:val="left"/>
      <w:pPr>
        <w:ind w:left="3600" w:hanging="360"/>
      </w:pPr>
      <w:rPr>
        <w:rFonts w:ascii="Courier New" w:hAnsi="Courier New" w:cs="Courier New" w:hint="default"/>
      </w:rPr>
    </w:lvl>
    <w:lvl w:ilvl="5" w:tplc="1E364CE4" w:tentative="1">
      <w:start w:val="1"/>
      <w:numFmt w:val="bullet"/>
      <w:lvlText w:val=""/>
      <w:lvlJc w:val="left"/>
      <w:pPr>
        <w:ind w:left="4320" w:hanging="360"/>
      </w:pPr>
      <w:rPr>
        <w:rFonts w:ascii="Wingdings" w:hAnsi="Wingdings" w:hint="default"/>
      </w:rPr>
    </w:lvl>
    <w:lvl w:ilvl="6" w:tplc="233E7860" w:tentative="1">
      <w:start w:val="1"/>
      <w:numFmt w:val="bullet"/>
      <w:lvlText w:val=""/>
      <w:lvlJc w:val="left"/>
      <w:pPr>
        <w:ind w:left="5040" w:hanging="360"/>
      </w:pPr>
      <w:rPr>
        <w:rFonts w:ascii="Symbol" w:hAnsi="Symbol" w:hint="default"/>
      </w:rPr>
    </w:lvl>
    <w:lvl w:ilvl="7" w:tplc="6A862E24" w:tentative="1">
      <w:start w:val="1"/>
      <w:numFmt w:val="bullet"/>
      <w:lvlText w:val="o"/>
      <w:lvlJc w:val="left"/>
      <w:pPr>
        <w:ind w:left="5760" w:hanging="360"/>
      </w:pPr>
      <w:rPr>
        <w:rFonts w:ascii="Courier New" w:hAnsi="Courier New" w:cs="Courier New" w:hint="default"/>
      </w:rPr>
    </w:lvl>
    <w:lvl w:ilvl="8" w:tplc="6D446978"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D90"/>
    <w:rsid w:val="000056D6"/>
    <w:rsid w:val="0014449D"/>
    <w:rsid w:val="00263028"/>
    <w:rsid w:val="002E6F61"/>
    <w:rsid w:val="003440B1"/>
    <w:rsid w:val="005375F2"/>
    <w:rsid w:val="00676500"/>
    <w:rsid w:val="00797119"/>
    <w:rsid w:val="007C744A"/>
    <w:rsid w:val="00885D90"/>
    <w:rsid w:val="009D0415"/>
    <w:rsid w:val="00AB5945"/>
    <w:rsid w:val="00B42F9B"/>
    <w:rsid w:val="00B61E88"/>
    <w:rsid w:val="00BC2F7D"/>
    <w:rsid w:val="00C15114"/>
    <w:rsid w:val="00C44044"/>
    <w:rsid w:val="00CE2C5F"/>
    <w:rsid w:val="00F408A6"/>
    <w:rsid w:val="00F56F0F"/>
    <w:rsid w:val="010DCA4C"/>
    <w:rsid w:val="014A1F17"/>
    <w:rsid w:val="0164E1DF"/>
    <w:rsid w:val="0630CB1E"/>
    <w:rsid w:val="08F5DFF7"/>
    <w:rsid w:val="0922DD79"/>
    <w:rsid w:val="0A2647AC"/>
    <w:rsid w:val="0AFCB45D"/>
    <w:rsid w:val="0CE6ECDB"/>
    <w:rsid w:val="0DB680B2"/>
    <w:rsid w:val="0EAD39FC"/>
    <w:rsid w:val="0F2D9594"/>
    <w:rsid w:val="101FF69C"/>
    <w:rsid w:val="14480480"/>
    <w:rsid w:val="149486DB"/>
    <w:rsid w:val="1594C8E5"/>
    <w:rsid w:val="15DAAEAF"/>
    <w:rsid w:val="166B3596"/>
    <w:rsid w:val="18D9D110"/>
    <w:rsid w:val="1A22E24D"/>
    <w:rsid w:val="1BB58C7C"/>
    <w:rsid w:val="23CB8720"/>
    <w:rsid w:val="24CEF153"/>
    <w:rsid w:val="25A55E04"/>
    <w:rsid w:val="2678A28C"/>
    <w:rsid w:val="2845550C"/>
    <w:rsid w:val="30BF997A"/>
    <w:rsid w:val="322C11AC"/>
    <w:rsid w:val="3405F198"/>
    <w:rsid w:val="39F95568"/>
    <w:rsid w:val="3C826076"/>
    <w:rsid w:val="3CAF5DF8"/>
    <w:rsid w:val="3F5FA18D"/>
    <w:rsid w:val="4306D8E2"/>
    <w:rsid w:val="45C8D2A8"/>
    <w:rsid w:val="4605FB43"/>
    <w:rsid w:val="4821075A"/>
    <w:rsid w:val="48E1B6AF"/>
    <w:rsid w:val="4DF05ACC"/>
    <w:rsid w:val="4EDB98C1"/>
    <w:rsid w:val="51BBB6DD"/>
    <w:rsid w:val="525F53AF"/>
    <w:rsid w:val="5492F2C6"/>
    <w:rsid w:val="55695F77"/>
    <w:rsid w:val="56EA67C8"/>
    <w:rsid w:val="5758079F"/>
    <w:rsid w:val="57C8B272"/>
    <w:rsid w:val="584D3AAB"/>
    <w:rsid w:val="5DA8F6C2"/>
    <w:rsid w:val="5F2E2F77"/>
    <w:rsid w:val="6140FC7F"/>
    <w:rsid w:val="62084865"/>
    <w:rsid w:val="62F6AE83"/>
    <w:rsid w:val="638978DF"/>
    <w:rsid w:val="63C9F30B"/>
    <w:rsid w:val="69814D10"/>
    <w:rsid w:val="6A947A13"/>
    <w:rsid w:val="6E4D364F"/>
    <w:rsid w:val="6F400849"/>
    <w:rsid w:val="72D4289F"/>
    <w:rsid w:val="73883BE7"/>
    <w:rsid w:val="7B6F4149"/>
    <w:rsid w:val="7B808A57"/>
    <w:rsid w:val="7CA7926D"/>
    <w:rsid w:val="7DB45C3F"/>
    <w:rsid w:val="7E6E63AA"/>
    <w:rsid w:val="7F8B0A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812F"/>
  <w15:docId w15:val="{103DBF7E-23B1-45D1-A25B-F8332C11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16747"/>
    <w:pPr>
      <w:spacing w:after="0" w:line="240" w:lineRule="auto"/>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732CBC"/>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semiHidden/>
    <w:unhideWhenUsed/>
    <w:qFormat/>
    <w:rsid w:val="00732CBC"/>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C30"/>
    <w:pPr>
      <w:tabs>
        <w:tab w:val="center" w:pos="4513"/>
        <w:tab w:val="right" w:pos="9026"/>
      </w:tabs>
    </w:pPr>
  </w:style>
  <w:style w:type="character" w:customStyle="1" w:styleId="HeaderChar">
    <w:name w:val="Header Char"/>
    <w:basedOn w:val="DefaultParagraphFont"/>
    <w:link w:val="Header"/>
    <w:uiPriority w:val="99"/>
    <w:rsid w:val="008B2C30"/>
  </w:style>
  <w:style w:type="paragraph" w:styleId="Footer">
    <w:name w:val="footer"/>
    <w:basedOn w:val="Normal"/>
    <w:link w:val="FooterChar"/>
    <w:uiPriority w:val="99"/>
    <w:unhideWhenUsed/>
    <w:rsid w:val="008B2C30"/>
    <w:pPr>
      <w:tabs>
        <w:tab w:val="center" w:pos="4513"/>
        <w:tab w:val="right" w:pos="9026"/>
      </w:tabs>
    </w:pPr>
  </w:style>
  <w:style w:type="character" w:customStyle="1" w:styleId="FooterChar">
    <w:name w:val="Footer Char"/>
    <w:basedOn w:val="DefaultParagraphFont"/>
    <w:link w:val="Footer"/>
    <w:uiPriority w:val="99"/>
    <w:rsid w:val="008B2C30"/>
  </w:style>
  <w:style w:type="table" w:styleId="TableGrid">
    <w:name w:val="Table Grid"/>
    <w:basedOn w:val="TableNormal"/>
    <w:uiPriority w:val="39"/>
    <w:rsid w:val="00FF7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ROCHeadingOne">
    <w:name w:val="JROC_Heading One"/>
    <w:basedOn w:val="Normal"/>
    <w:qFormat/>
    <w:rsid w:val="00B75A5A"/>
    <w:pPr>
      <w:spacing w:before="240" w:line="280" w:lineRule="exact"/>
      <w:outlineLvl w:val="0"/>
    </w:pPr>
    <w:rPr>
      <w:b/>
      <w:sz w:val="28"/>
    </w:rPr>
  </w:style>
  <w:style w:type="paragraph" w:customStyle="1" w:styleId="JROCHeadingTwo">
    <w:name w:val="JROC_Heading Two"/>
    <w:basedOn w:val="Normal"/>
    <w:qFormat/>
    <w:rsid w:val="00B75A5A"/>
    <w:pPr>
      <w:spacing w:line="280" w:lineRule="exact"/>
      <w:outlineLvl w:val="1"/>
    </w:pPr>
    <w:rPr>
      <w:b/>
    </w:rPr>
  </w:style>
  <w:style w:type="paragraph" w:customStyle="1" w:styleId="JROCBodyText">
    <w:name w:val="JROC_Body Text"/>
    <w:basedOn w:val="Normal"/>
    <w:qFormat/>
    <w:rsid w:val="000324CE"/>
    <w:pPr>
      <w:spacing w:line="264" w:lineRule="auto"/>
      <w:ind w:right="1134"/>
    </w:pPr>
    <w:rPr>
      <w:sz w:val="21"/>
    </w:rPr>
  </w:style>
  <w:style w:type="paragraph" w:customStyle="1" w:styleId="JROCBulletOne">
    <w:name w:val="JROC_Bullet One"/>
    <w:basedOn w:val="Normal"/>
    <w:qFormat/>
    <w:rsid w:val="00B75A5A"/>
    <w:pPr>
      <w:numPr>
        <w:numId w:val="1"/>
      </w:numPr>
      <w:spacing w:after="140" w:line="280" w:lineRule="exact"/>
      <w:contextualSpacing/>
    </w:pPr>
  </w:style>
  <w:style w:type="paragraph" w:customStyle="1" w:styleId="JROCToAddress">
    <w:name w:val="JROC_ToAddress"/>
    <w:basedOn w:val="Normal"/>
    <w:qFormat/>
    <w:rsid w:val="00B75A5A"/>
    <w:pPr>
      <w:spacing w:line="280" w:lineRule="exact"/>
    </w:pPr>
  </w:style>
  <w:style w:type="paragraph" w:customStyle="1" w:styleId="JROCDate">
    <w:name w:val="JROC_Date"/>
    <w:basedOn w:val="Normal"/>
    <w:qFormat/>
    <w:rsid w:val="00FD3DBF"/>
    <w:pPr>
      <w:spacing w:before="280" w:after="600" w:line="280" w:lineRule="exact"/>
    </w:pPr>
  </w:style>
  <w:style w:type="paragraph" w:customStyle="1" w:styleId="JROCRecipientName">
    <w:name w:val="JROC_Recipient Name"/>
    <w:basedOn w:val="Normal"/>
    <w:qFormat/>
    <w:rsid w:val="00FD3DBF"/>
    <w:pPr>
      <w:spacing w:after="280" w:line="280" w:lineRule="exact"/>
    </w:pPr>
  </w:style>
  <w:style w:type="character" w:customStyle="1" w:styleId="Heading1Char">
    <w:name w:val="Heading 1 Char"/>
    <w:basedOn w:val="DefaultParagraphFont"/>
    <w:link w:val="Heading1"/>
    <w:uiPriority w:val="9"/>
    <w:rsid w:val="00732CBC"/>
    <w:rPr>
      <w:rFonts w:ascii="Arial" w:eastAsiaTheme="majorEastAsia" w:hAnsi="Arial" w:cstheme="majorBidi"/>
      <w:b/>
      <w:sz w:val="28"/>
      <w:szCs w:val="32"/>
      <w:lang w:eastAsia="en-GB"/>
    </w:rPr>
  </w:style>
  <w:style w:type="character" w:customStyle="1" w:styleId="Heading2Char">
    <w:name w:val="Heading 2 Char"/>
    <w:basedOn w:val="DefaultParagraphFont"/>
    <w:link w:val="Heading2"/>
    <w:uiPriority w:val="9"/>
    <w:semiHidden/>
    <w:rsid w:val="00732CBC"/>
    <w:rPr>
      <w:rFonts w:ascii="Arial" w:eastAsiaTheme="majorEastAsia" w:hAnsi="Arial" w:cstheme="majorBidi"/>
      <w:b/>
      <w:sz w:val="20"/>
      <w:szCs w:val="26"/>
      <w:lang w:eastAsia="en-GB"/>
    </w:rPr>
  </w:style>
  <w:style w:type="paragraph" w:customStyle="1" w:styleId="JROCBodyTextnumbered">
    <w:name w:val="JROC_Body Text numbered"/>
    <w:basedOn w:val="JROCBodyText"/>
    <w:qFormat/>
    <w:rsid w:val="00FF2AEB"/>
    <w:pPr>
      <w:numPr>
        <w:numId w:val="2"/>
      </w:numPr>
      <w:ind w:left="426" w:hanging="426"/>
    </w:pPr>
  </w:style>
  <w:style w:type="paragraph" w:styleId="ListParagraph">
    <w:name w:val="List Paragraph"/>
    <w:basedOn w:val="Normal"/>
    <w:uiPriority w:val="34"/>
    <w:rsid w:val="00FF2AEB"/>
    <w:pPr>
      <w:ind w:left="720"/>
      <w:contextualSpacing/>
    </w:pPr>
  </w:style>
  <w:style w:type="paragraph" w:customStyle="1" w:styleId="Default">
    <w:name w:val="Default"/>
    <w:rsid w:val="00676A6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40E05"/>
    <w:rPr>
      <w:sz w:val="16"/>
      <w:szCs w:val="16"/>
    </w:rPr>
  </w:style>
  <w:style w:type="paragraph" w:styleId="CommentText">
    <w:name w:val="annotation text"/>
    <w:basedOn w:val="Normal"/>
    <w:link w:val="CommentTextChar"/>
    <w:uiPriority w:val="99"/>
    <w:semiHidden/>
    <w:unhideWhenUsed/>
    <w:rsid w:val="00A40E05"/>
    <w:rPr>
      <w:szCs w:val="20"/>
    </w:rPr>
  </w:style>
  <w:style w:type="character" w:customStyle="1" w:styleId="CommentTextChar">
    <w:name w:val="Comment Text Char"/>
    <w:basedOn w:val="DefaultParagraphFont"/>
    <w:link w:val="CommentText"/>
    <w:uiPriority w:val="99"/>
    <w:semiHidden/>
    <w:rsid w:val="00A40E0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40E05"/>
    <w:rPr>
      <w:b/>
      <w:bCs/>
    </w:rPr>
  </w:style>
  <w:style w:type="character" w:customStyle="1" w:styleId="CommentSubjectChar">
    <w:name w:val="Comment Subject Char"/>
    <w:basedOn w:val="CommentTextChar"/>
    <w:link w:val="CommentSubject"/>
    <w:uiPriority w:val="99"/>
    <w:semiHidden/>
    <w:rsid w:val="00A40E05"/>
    <w:rPr>
      <w:rFonts w:ascii="Arial" w:eastAsia="Times New Roman" w:hAnsi="Arial" w:cs="Times New Roman"/>
      <w:b/>
      <w:bCs/>
      <w:sz w:val="20"/>
      <w:szCs w:val="20"/>
      <w:lang w:eastAsia="en-GB"/>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PSR Midnight">
      <a:dk1>
        <a:sysClr val="windowText" lastClr="000000"/>
      </a:dk1>
      <a:lt1>
        <a:sysClr val="window" lastClr="FFFFFF"/>
      </a:lt1>
      <a:dk2>
        <a:srgbClr val="6AC5D8"/>
      </a:dk2>
      <a:lt2>
        <a:srgbClr val="E7E6E6"/>
      </a:lt2>
      <a:accent1>
        <a:srgbClr val="0087B2"/>
      </a:accent1>
      <a:accent2>
        <a:srgbClr val="ADABA7"/>
      </a:accent2>
      <a:accent3>
        <a:srgbClr val="072A3A"/>
      </a:accent3>
      <a:accent4>
        <a:srgbClr val="77B82A"/>
      </a:accent4>
      <a:accent5>
        <a:srgbClr val="EC6708"/>
      </a:accent5>
      <a:accent6>
        <a:srgbClr val="FFD300"/>
      </a:accent6>
      <a:hlink>
        <a:srgbClr val="0563C1"/>
      </a:hlink>
      <a:folHlink>
        <a:srgbClr val="954F72"/>
      </a:folHlink>
    </a:clrScheme>
    <a:fontScheme name="PSR internal">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1679BD81F60B42BCA373A30DE57EFA" ma:contentTypeVersion="10" ma:contentTypeDescription="Create a new document." ma:contentTypeScope="" ma:versionID="e9030301eeba18243ec7fb401293a4a3">
  <xsd:schema xmlns:xsd="http://www.w3.org/2001/XMLSchema" xmlns:xs="http://www.w3.org/2001/XMLSchema" xmlns:p="http://schemas.microsoft.com/office/2006/metadata/properties" xmlns:ns2="aa02988d-054c-4e5d-a782-6b059c92736f" xmlns:ns3="126907a2-6ce3-4612-8d82-1d712469b544" targetNamespace="http://schemas.microsoft.com/office/2006/metadata/properties" ma:root="true" ma:fieldsID="00ab53b7b70b0b955813cf401561ac51" ns2:_="" ns3:_="">
    <xsd:import namespace="aa02988d-054c-4e5d-a782-6b059c92736f"/>
    <xsd:import namespace="126907a2-6ce3-4612-8d82-1d712469b5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2988d-054c-4e5d-a782-6b059c927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f798881-2fd4-4cd5-b45a-0b811a4d19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6907a2-6ce3-4612-8d82-1d712469b5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967e0ee-50bd-411f-875f-31e2cb0ef216}" ma:internalName="TaxCatchAll" ma:showField="CatchAllData" ma:web="126907a2-6ce3-4612-8d82-1d712469b54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6907a2-6ce3-4612-8d82-1d712469b544">
      <Value>2</Value>
      <Value>28</Value>
    </TaxCatchAll>
    <lcf76f155ced4ddcb4097134ff3c332f xmlns="aa02988d-054c-4e5d-a782-6b059c9273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A9B10A-4562-4172-BACB-758BBE5E8F07}">
  <ds:schemaRefs>
    <ds:schemaRef ds:uri="http://schemas.microsoft.com/sharepoint/v3/contenttype/forms"/>
  </ds:schemaRefs>
</ds:datastoreItem>
</file>

<file path=customXml/itemProps2.xml><?xml version="1.0" encoding="utf-8"?>
<ds:datastoreItem xmlns:ds="http://schemas.openxmlformats.org/officeDocument/2006/customXml" ds:itemID="{4C885435-E195-4F33-A57C-2FA6164CC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2988d-054c-4e5d-a782-6b059c92736f"/>
    <ds:schemaRef ds:uri="126907a2-6ce3-4612-8d82-1d712469b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B50A5-8CDF-4B50-86B4-EC5DE9373846}">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126907a2-6ce3-4612-8d82-1d712469b544"/>
    <ds:schemaRef ds:uri="aa02988d-054c-4e5d-a782-6b059c92736f"/>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8334</Characters>
  <Application>Microsoft Office Word</Application>
  <DocSecurity>0</DocSecurity>
  <Lines>69</Lines>
  <Paragraphs>19</Paragraphs>
  <ScaleCrop>false</ScaleCrop>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Mackay</dc:creator>
  <cp:keywords/>
  <cp:lastModifiedBy>Shannon Kingston</cp:lastModifiedBy>
  <cp:revision>2</cp:revision>
  <dcterms:created xsi:type="dcterms:W3CDTF">2022-09-14T14:12:00Z</dcterms:created>
  <dcterms:modified xsi:type="dcterms:W3CDTF">2022-09-14T14:12:00Z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0x010100531679BD81F60B42BCA373A30DE57EFA</vt:lpwstr>
  </property>
</Properties>
</file>